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111C8814"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15B1605F"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777098">
        <w:rPr>
          <w:b w:val="0"/>
          <w:bCs/>
          <w:color w:val="auto"/>
          <w:sz w:val="24"/>
          <w:szCs w:val="24"/>
        </w:rPr>
        <w:t>3</w:t>
      </w:r>
      <w:r>
        <w:rPr>
          <w:b w:val="0"/>
          <w:bCs/>
          <w:color w:val="auto"/>
          <w:sz w:val="24"/>
          <w:szCs w:val="24"/>
        </w:rPr>
        <w:t xml:space="preserve"> to 202</w:t>
      </w:r>
      <w:r w:rsidR="00777098">
        <w:rPr>
          <w:b w:val="0"/>
          <w:bCs/>
          <w:color w:val="auto"/>
          <w:sz w:val="24"/>
          <w:szCs w:val="24"/>
        </w:rPr>
        <w:t>4</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7183"/>
        <w:gridCol w:w="3273"/>
      </w:tblGrid>
      <w:tr w:rsidR="00E66558" w14:paraId="2A7D54B7" w14:textId="77777777" w:rsidTr="4F80CB3B">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9B7C68" w14:paraId="2A7D54BA" w14:textId="77777777" w:rsidTr="4F80CB3B">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9B7C68" w:rsidRDefault="009B7C68" w:rsidP="009B7C68">
            <w:pPr>
              <w:pStyle w:val="TableRow"/>
            </w:pPr>
            <w:r>
              <w:t>School name</w:t>
            </w:r>
          </w:p>
        </w:tc>
        <w:tc>
          <w:tcPr>
            <w:tcW w:w="2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2A7D54B9" w14:textId="52CBB8D5" w:rsidR="009B7C68" w:rsidRDefault="009B7C68" w:rsidP="009B7C68">
            <w:pPr>
              <w:pStyle w:val="TableRow"/>
            </w:pPr>
            <w:r>
              <w:rPr>
                <w:rStyle w:val="Style1"/>
              </w:rPr>
              <w:t>Bird’s Bush Primary School</w:t>
            </w:r>
          </w:p>
        </w:tc>
      </w:tr>
      <w:tr w:rsidR="009B7C68" w14:paraId="2A7D54BD" w14:textId="77777777" w:rsidTr="4F80CB3B">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9B7C68" w:rsidRDefault="009B7C68" w:rsidP="009B7C68">
            <w:pPr>
              <w:pStyle w:val="TableRow"/>
            </w:pPr>
            <w:r>
              <w:t xml:space="preserve">Number of pupils in school </w:t>
            </w:r>
          </w:p>
        </w:tc>
        <w:tc>
          <w:tcPr>
            <w:tcW w:w="2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2A7D54BC" w14:textId="699AFB6B" w:rsidR="009B7C68" w:rsidRDefault="009B7C68" w:rsidP="009B7C68">
            <w:pPr>
              <w:pStyle w:val="TableRow"/>
            </w:pPr>
            <w:r>
              <w:t>1</w:t>
            </w:r>
            <w:r w:rsidR="2FF8C99A">
              <w:t>70</w:t>
            </w:r>
          </w:p>
        </w:tc>
      </w:tr>
      <w:tr w:rsidR="009B7C68" w14:paraId="2A7D54C0" w14:textId="77777777" w:rsidTr="4F80CB3B">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7777777" w:rsidR="009B7C68" w:rsidRDefault="009B7C68" w:rsidP="009B7C68">
            <w:pPr>
              <w:pStyle w:val="TableRow"/>
            </w:pPr>
            <w:r>
              <w:t>Proportion (%) of pupil premium eligible pupils</w:t>
            </w:r>
          </w:p>
        </w:tc>
        <w:tc>
          <w:tcPr>
            <w:tcW w:w="2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2A7D54BF" w14:textId="071ECD90" w:rsidR="009B7C68" w:rsidRDefault="009B7C68" w:rsidP="009B7C68">
            <w:pPr>
              <w:pStyle w:val="TableRow"/>
            </w:pPr>
            <w:r>
              <w:t>3</w:t>
            </w:r>
            <w:r w:rsidR="44C06E04">
              <w:t xml:space="preserve">7% last year this year </w:t>
            </w:r>
            <w:r w:rsidR="00C21AE4">
              <w:t>31%</w:t>
            </w:r>
          </w:p>
        </w:tc>
      </w:tr>
      <w:tr w:rsidR="009B7C68" w14:paraId="2A7D54C3" w14:textId="77777777" w:rsidTr="4F80CB3B">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77777777" w:rsidR="009B7C68" w:rsidRDefault="009B7C68" w:rsidP="009B7C6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2A7D54C2" w14:textId="0EA42AB1" w:rsidR="009B7C68" w:rsidRDefault="009B7C68" w:rsidP="009B7C68">
            <w:pPr>
              <w:pStyle w:val="TableRow"/>
            </w:pPr>
            <w:r>
              <w:t>2021-24</w:t>
            </w:r>
          </w:p>
        </w:tc>
      </w:tr>
      <w:tr w:rsidR="009B7C68" w14:paraId="2A7D54C6" w14:textId="77777777" w:rsidTr="4F80CB3B">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9B7C68" w:rsidRDefault="009B7C68" w:rsidP="009B7C68">
            <w:pPr>
              <w:pStyle w:val="TableRow"/>
            </w:pPr>
            <w:r>
              <w:rPr>
                <w:szCs w:val="22"/>
              </w:rPr>
              <w:t>Date this statement was published</w:t>
            </w:r>
          </w:p>
        </w:tc>
        <w:tc>
          <w:tcPr>
            <w:tcW w:w="2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2A7D54C5" w14:textId="3B54A2F2" w:rsidR="009B7C68" w:rsidRDefault="009B7C68" w:rsidP="009B7C68">
            <w:pPr>
              <w:pStyle w:val="TableRow"/>
            </w:pPr>
            <w:r>
              <w:t>10 September 2021</w:t>
            </w:r>
          </w:p>
        </w:tc>
      </w:tr>
      <w:tr w:rsidR="009B7C68" w14:paraId="2A7D54C9" w14:textId="77777777" w:rsidTr="4F80CB3B">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9B7C68" w:rsidRDefault="009B7C68" w:rsidP="009B7C68">
            <w:pPr>
              <w:pStyle w:val="TableRow"/>
            </w:pPr>
            <w:r>
              <w:rPr>
                <w:szCs w:val="22"/>
              </w:rPr>
              <w:t>Date on which it will be reviewed</w:t>
            </w:r>
          </w:p>
        </w:tc>
        <w:tc>
          <w:tcPr>
            <w:tcW w:w="2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2A7D54C8" w14:textId="1523AF31" w:rsidR="009B7C68" w:rsidRDefault="0A838678" w:rsidP="009B7C68">
            <w:pPr>
              <w:pStyle w:val="TableRow"/>
            </w:pPr>
            <w:r>
              <w:t>January</w:t>
            </w:r>
            <w:r w:rsidR="009B7C68">
              <w:t xml:space="preserve"> 202</w:t>
            </w:r>
            <w:r w:rsidR="51753462">
              <w:t>4</w:t>
            </w:r>
          </w:p>
        </w:tc>
      </w:tr>
      <w:tr w:rsidR="009B7C68" w14:paraId="2A7D54CC" w14:textId="77777777" w:rsidTr="4F80CB3B">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9B7C68" w:rsidRDefault="009B7C68" w:rsidP="009B7C68">
            <w:pPr>
              <w:pStyle w:val="TableRow"/>
            </w:pPr>
            <w:r>
              <w:t>Statement authorised by</w:t>
            </w:r>
          </w:p>
        </w:tc>
        <w:tc>
          <w:tcPr>
            <w:tcW w:w="2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2A7D54CB" w14:textId="0D406204" w:rsidR="009B7C68" w:rsidRDefault="009B7C68" w:rsidP="009B7C68">
            <w:pPr>
              <w:pStyle w:val="TableRow"/>
            </w:pPr>
            <w:r>
              <w:t>Darryl Asbury</w:t>
            </w:r>
          </w:p>
        </w:tc>
      </w:tr>
      <w:tr w:rsidR="009B7C68" w14:paraId="2A7D54CF" w14:textId="77777777" w:rsidTr="4F80CB3B">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9B7C68" w:rsidRDefault="009B7C68" w:rsidP="009B7C68">
            <w:pPr>
              <w:pStyle w:val="TableRow"/>
            </w:pPr>
            <w:r>
              <w:t>Pupil premium lead</w:t>
            </w:r>
          </w:p>
        </w:tc>
        <w:tc>
          <w:tcPr>
            <w:tcW w:w="2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2A7D54CE" w14:textId="10266F9C" w:rsidR="009B7C68" w:rsidRDefault="009A6C3B" w:rsidP="009B7C68">
            <w:pPr>
              <w:pStyle w:val="TableRow"/>
            </w:pPr>
            <w:r>
              <w:t>Clare Hathaway</w:t>
            </w:r>
          </w:p>
        </w:tc>
      </w:tr>
      <w:tr w:rsidR="009B7C68" w14:paraId="2A7D54D2" w14:textId="77777777" w:rsidTr="4F80CB3B">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9B7C68" w:rsidRDefault="009B7C68" w:rsidP="009B7C68">
            <w:pPr>
              <w:pStyle w:val="TableRow"/>
            </w:pPr>
            <w:r>
              <w:t xml:space="preserve">Governor </w:t>
            </w:r>
            <w:r>
              <w:rPr>
                <w:szCs w:val="22"/>
              </w:rPr>
              <w:t xml:space="preserve">/ Trustee </w:t>
            </w:r>
            <w:r>
              <w:t>lead</w:t>
            </w:r>
          </w:p>
        </w:tc>
        <w:tc>
          <w:tcPr>
            <w:tcW w:w="2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2A7D54D1" w14:textId="51A79512" w:rsidR="009B7C68" w:rsidRDefault="00F2570A" w:rsidP="009B7C68">
            <w:pPr>
              <w:pStyle w:val="TableRow"/>
            </w:pPr>
            <w:r>
              <w:t>Ann Brown</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4F80CB3B">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4F80CB3B">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E0A93B" w14:textId="3AEAF703" w:rsidR="00E66558" w:rsidRDefault="009B7C68">
            <w:pPr>
              <w:pStyle w:val="TableRow"/>
            </w:pPr>
            <w:r>
              <w:t>£88,770.00</w:t>
            </w:r>
            <w:r w:rsidR="0F8BDEBD">
              <w:t xml:space="preserve"> last year</w:t>
            </w:r>
          </w:p>
          <w:p w14:paraId="2A7D54D8" w14:textId="7BF2B83F" w:rsidR="00E66558" w:rsidRDefault="0F8BDEBD">
            <w:pPr>
              <w:pStyle w:val="TableRow"/>
            </w:pPr>
            <w:r w:rsidRPr="000D5A0B">
              <w:rPr>
                <w:highlight w:val="yellow"/>
              </w:rPr>
              <w:t>This year TBC</w:t>
            </w:r>
          </w:p>
        </w:tc>
      </w:tr>
      <w:tr w:rsidR="00E66558" w14:paraId="2A7D54DC" w14:textId="77777777" w:rsidTr="4F80CB3B">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502BEC" w14:textId="59B8EAD7" w:rsidR="00E66558" w:rsidRDefault="009D71E8">
            <w:pPr>
              <w:pStyle w:val="TableRow"/>
            </w:pPr>
            <w:r>
              <w:t>£</w:t>
            </w:r>
            <w:r w:rsidR="009B7C68">
              <w:t>9715</w:t>
            </w:r>
            <w:r w:rsidR="76738ABC">
              <w:t xml:space="preserve"> last year</w:t>
            </w:r>
          </w:p>
          <w:p w14:paraId="2A7D54DB" w14:textId="46842BF4" w:rsidR="00E66558" w:rsidRPr="0053791B" w:rsidRDefault="0053791B" w:rsidP="0053791B">
            <w:pPr>
              <w:pStyle w:val="TableRow"/>
            </w:pPr>
            <w:r>
              <w:t>£9425 this year</w:t>
            </w:r>
          </w:p>
        </w:tc>
      </w:tr>
      <w:tr w:rsidR="00E66558" w14:paraId="2A7D54DF" w14:textId="77777777" w:rsidTr="4F80CB3B">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318AAF20" w:rsidR="00E66558" w:rsidRDefault="009D71E8">
            <w:pPr>
              <w:pStyle w:val="TableRow"/>
            </w:pPr>
            <w:r>
              <w:t>£</w:t>
            </w:r>
            <w:r w:rsidR="00AB0ED9">
              <w:t>0</w:t>
            </w:r>
          </w:p>
        </w:tc>
      </w:tr>
      <w:tr w:rsidR="00E66558" w14:paraId="2A7D54E3" w14:textId="77777777" w:rsidTr="4F80CB3B">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A2095D" w14:textId="7A481CA6" w:rsidR="00E66558" w:rsidRDefault="009D71E8">
            <w:pPr>
              <w:pStyle w:val="TableRow"/>
            </w:pPr>
            <w:r>
              <w:t>£</w:t>
            </w:r>
            <w:r w:rsidR="2C9D4162">
              <w:t>98,485.00</w:t>
            </w:r>
            <w:r w:rsidR="30EB96C5">
              <w:t xml:space="preserve"> last year </w:t>
            </w:r>
          </w:p>
          <w:p w14:paraId="2A7D54E2" w14:textId="0089BF75" w:rsidR="00E66558" w:rsidRDefault="30EB96C5">
            <w:pPr>
              <w:pStyle w:val="TableRow"/>
            </w:pPr>
            <w:r w:rsidRPr="000D5A0B">
              <w:rPr>
                <w:highlight w:val="yellow"/>
              </w:rPr>
              <w:t>This year TBC</w:t>
            </w:r>
          </w:p>
        </w:tc>
      </w:tr>
      <w:tr w:rsidR="00E66558" w14:paraId="2A7D54EA" w14:textId="77777777" w:rsidTr="4F80CB3B">
        <w:trPr>
          <w:trHeight w:val="2567"/>
        </w:trPr>
        <w:tc>
          <w:tcPr>
            <w:tcW w:w="94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1DDC91" w14:textId="4F6EA1CA" w:rsidR="009B7C68" w:rsidRDefault="009D71E8" w:rsidP="009B7C68">
            <w:pPr>
              <w:pageBreakBefore/>
              <w:spacing w:after="0" w:line="240" w:lineRule="auto"/>
              <w:rPr>
                <w:color w:val="365F91" w:themeColor="accent1" w:themeShade="BF"/>
              </w:rPr>
            </w:pPr>
            <w:r w:rsidRPr="009B7C68">
              <w:rPr>
                <w:color w:val="365F91" w:themeColor="accent1" w:themeShade="BF"/>
                <w:sz w:val="28"/>
                <w:szCs w:val="28"/>
              </w:rPr>
              <w:lastRenderedPageBreak/>
              <w:t>Part A: Pupil premium strategy plan</w:t>
            </w:r>
            <w:bookmarkStart w:id="14" w:name="_Toc357771640"/>
            <w:bookmarkStart w:id="15" w:name="_Toc346793418"/>
            <w:r w:rsidR="009B7C68" w:rsidRPr="009B7C68">
              <w:rPr>
                <w:color w:val="365F91" w:themeColor="accent1" w:themeShade="BF"/>
                <w:sz w:val="28"/>
                <w:szCs w:val="28"/>
              </w:rPr>
              <w:t xml:space="preserve"> </w:t>
            </w:r>
            <w:r w:rsidRPr="009B7C68">
              <w:rPr>
                <w:color w:val="365F91" w:themeColor="accent1" w:themeShade="BF"/>
                <w:sz w:val="28"/>
                <w:szCs w:val="28"/>
              </w:rPr>
              <w:t>Statement of intent</w:t>
            </w:r>
            <w:r w:rsidR="009B7C68" w:rsidRPr="009B7C68">
              <w:rPr>
                <w:color w:val="365F91" w:themeColor="accent1" w:themeShade="BF"/>
              </w:rPr>
              <w:t xml:space="preserve"> </w:t>
            </w:r>
          </w:p>
          <w:p w14:paraId="3EC6FB56" w14:textId="001CDD10" w:rsidR="00AE5F67" w:rsidRPr="00F63AC2" w:rsidRDefault="00AE5F67" w:rsidP="00AE5F67">
            <w:pPr>
              <w:spacing w:before="120"/>
              <w:rPr>
                <w:rFonts w:asciiTheme="minorHAnsi" w:hAnsiTheme="minorHAnsi" w:cstheme="minorHAnsi"/>
                <w:iCs/>
                <w:color w:val="auto"/>
              </w:rPr>
            </w:pPr>
            <w:r w:rsidRPr="00F63AC2">
              <w:rPr>
                <w:rFonts w:asciiTheme="minorHAnsi" w:hAnsiTheme="minorHAnsi" w:cstheme="minorHAnsi"/>
                <w:color w:val="000000"/>
              </w:rPr>
              <w:t xml:space="preserve">Our intention is to provide a curriculum that is ambitious and designed to give all pupils, </w:t>
            </w:r>
            <w:r w:rsidRPr="00F63AC2">
              <w:rPr>
                <w:rFonts w:asciiTheme="minorHAnsi" w:hAnsiTheme="minorHAnsi" w:cstheme="minorHAnsi"/>
                <w:iCs/>
                <w:color w:val="auto"/>
              </w:rPr>
              <w:t xml:space="preserve">irrespective of their background or the challenges they face, </w:t>
            </w:r>
            <w:r w:rsidRPr="00F63AC2">
              <w:rPr>
                <w:rFonts w:asciiTheme="minorHAnsi" w:hAnsiTheme="minorHAnsi" w:cstheme="minorHAnsi"/>
                <w:iCs/>
              </w:rPr>
              <w:t xml:space="preserve">the opportunity to </w:t>
            </w:r>
            <w:r w:rsidR="00F63AC2" w:rsidRPr="00F63AC2">
              <w:rPr>
                <w:rFonts w:asciiTheme="minorHAnsi" w:hAnsiTheme="minorHAnsi" w:cstheme="minorHAnsi"/>
                <w:iCs/>
                <w:color w:val="auto"/>
              </w:rPr>
              <w:t xml:space="preserve">make good progress, </w:t>
            </w:r>
            <w:r w:rsidRPr="00F63AC2">
              <w:rPr>
                <w:rFonts w:asciiTheme="minorHAnsi" w:hAnsiTheme="minorHAnsi" w:cstheme="minorHAnsi"/>
                <w:iCs/>
                <w:color w:val="auto"/>
              </w:rPr>
              <w:t>achieve high atta</w:t>
            </w:r>
            <w:r w:rsidRPr="00F63AC2">
              <w:rPr>
                <w:rFonts w:asciiTheme="minorHAnsi" w:hAnsiTheme="minorHAnsi" w:cstheme="minorHAnsi"/>
                <w:iCs/>
              </w:rPr>
              <w:t>inment across all subject areas as well as</w:t>
            </w:r>
            <w:r w:rsidR="00F63AC2" w:rsidRPr="00F63AC2">
              <w:rPr>
                <w:rFonts w:asciiTheme="minorHAnsi" w:hAnsiTheme="minorHAnsi" w:cstheme="minorHAnsi"/>
                <w:iCs/>
              </w:rPr>
              <w:t xml:space="preserve"> to gain </w:t>
            </w:r>
            <w:r w:rsidRPr="00F63AC2">
              <w:rPr>
                <w:rFonts w:asciiTheme="minorHAnsi" w:hAnsiTheme="minorHAnsi" w:cstheme="minorHAnsi"/>
                <w:iCs/>
              </w:rPr>
              <w:t xml:space="preserve">essential </w:t>
            </w:r>
            <w:r w:rsidRPr="00F63AC2">
              <w:rPr>
                <w:rFonts w:asciiTheme="minorHAnsi" w:hAnsiTheme="minorHAnsi" w:cstheme="minorHAnsi"/>
                <w:color w:val="000000"/>
              </w:rPr>
              <w:t xml:space="preserve">knowledge and cultural capital they need to succeed in life. </w:t>
            </w:r>
            <w:r w:rsidRPr="00F63AC2">
              <w:rPr>
                <w:rFonts w:asciiTheme="minorHAnsi" w:hAnsiTheme="minorHAnsi" w:cstheme="minorHAnsi"/>
                <w:iCs/>
                <w:color w:val="auto"/>
                <w:lang w:val="en-US"/>
              </w:rPr>
              <w:t>We consider the challenges faced by all our vulnerable pupils</w:t>
            </w:r>
            <w:r w:rsidR="00F253CD" w:rsidRPr="00F63AC2">
              <w:rPr>
                <w:rFonts w:asciiTheme="minorHAnsi" w:hAnsiTheme="minorHAnsi" w:cstheme="minorHAnsi"/>
                <w:iCs/>
                <w:color w:val="auto"/>
                <w:lang w:val="en-US"/>
              </w:rPr>
              <w:t xml:space="preserve"> and </w:t>
            </w:r>
            <w:r w:rsidRPr="00F63AC2">
              <w:rPr>
                <w:rFonts w:asciiTheme="minorHAnsi" w:hAnsiTheme="minorHAnsi" w:cstheme="minorHAnsi"/>
                <w:iCs/>
                <w:color w:val="auto"/>
                <w:lang w:val="en-US"/>
              </w:rPr>
              <w:t>this statement is intended to support their needs, regardless o</w:t>
            </w:r>
            <w:r w:rsidR="00F253CD" w:rsidRPr="00F63AC2">
              <w:rPr>
                <w:rFonts w:asciiTheme="minorHAnsi" w:hAnsiTheme="minorHAnsi" w:cstheme="minorHAnsi"/>
                <w:iCs/>
                <w:color w:val="auto"/>
                <w:lang w:val="en-US"/>
              </w:rPr>
              <w:t xml:space="preserve">f whether they are in receipt of pupil premium or not. </w:t>
            </w:r>
          </w:p>
          <w:p w14:paraId="01A4822E" w14:textId="01F66C73" w:rsidR="00F253CD" w:rsidRPr="00F63AC2" w:rsidRDefault="00F253CD" w:rsidP="00F253CD">
            <w:pPr>
              <w:spacing w:after="120"/>
              <w:rPr>
                <w:rFonts w:asciiTheme="minorHAnsi" w:hAnsiTheme="minorHAnsi" w:cstheme="minorHAnsi"/>
                <w:iCs/>
                <w:color w:val="auto"/>
                <w:lang w:val="en-US"/>
              </w:rPr>
            </w:pPr>
            <w:r w:rsidRPr="00F63AC2">
              <w:rPr>
                <w:rFonts w:asciiTheme="minorHAnsi" w:hAnsiTheme="minorHAnsi" w:cstheme="minorHAnsi"/>
                <w:iCs/>
                <w:lang w:val="en-US"/>
              </w:rPr>
              <w:t>O</w:t>
            </w:r>
            <w:r w:rsidRPr="00F63AC2">
              <w:rPr>
                <w:rFonts w:asciiTheme="minorHAnsi" w:hAnsiTheme="minorHAnsi" w:cstheme="minorHAnsi"/>
                <w:iCs/>
                <w:color w:val="auto"/>
                <w:lang w:val="en-US"/>
              </w:rPr>
              <w:t>ur approach</w:t>
            </w:r>
            <w:r w:rsidRPr="00F63AC2">
              <w:rPr>
                <w:rFonts w:asciiTheme="minorHAnsi" w:hAnsiTheme="minorHAnsi" w:cstheme="minorHAnsi"/>
                <w:color w:val="000000"/>
              </w:rPr>
              <w:t xml:space="preserve"> is </w:t>
            </w:r>
            <w:r w:rsidR="00483D37" w:rsidRPr="00F63AC2">
              <w:rPr>
                <w:rFonts w:asciiTheme="minorHAnsi" w:hAnsiTheme="minorHAnsi" w:cstheme="minorHAnsi"/>
                <w:color w:val="000000"/>
              </w:rPr>
              <w:t>essentially</w:t>
            </w:r>
            <w:r w:rsidRPr="00F63AC2">
              <w:rPr>
                <w:rFonts w:asciiTheme="minorHAnsi" w:hAnsiTheme="minorHAnsi" w:cstheme="minorHAnsi"/>
                <w:color w:val="000000"/>
              </w:rPr>
              <w:t xml:space="preserve"> underpinned by consistently high quality first teaching.  All our teachers are dedicated to design a </w:t>
            </w:r>
            <w:r w:rsidR="00AE5F67" w:rsidRPr="00F63AC2">
              <w:rPr>
                <w:rFonts w:asciiTheme="minorHAnsi" w:hAnsiTheme="minorHAnsi" w:cstheme="minorHAnsi"/>
                <w:color w:val="000000"/>
              </w:rPr>
              <w:t xml:space="preserve">curriculum </w:t>
            </w:r>
            <w:r w:rsidRPr="00F63AC2">
              <w:rPr>
                <w:rFonts w:asciiTheme="minorHAnsi" w:hAnsiTheme="minorHAnsi" w:cstheme="minorHAnsi"/>
                <w:color w:val="000000"/>
              </w:rPr>
              <w:t xml:space="preserve">that </w:t>
            </w:r>
            <w:r w:rsidR="00AE5F67" w:rsidRPr="00F63AC2">
              <w:rPr>
                <w:rFonts w:asciiTheme="minorHAnsi" w:hAnsiTheme="minorHAnsi" w:cstheme="minorHAnsi"/>
                <w:color w:val="000000"/>
              </w:rPr>
              <w:t>is su</w:t>
            </w:r>
            <w:r w:rsidRPr="00F63AC2">
              <w:rPr>
                <w:rFonts w:asciiTheme="minorHAnsi" w:hAnsiTheme="minorHAnsi" w:cstheme="minorHAnsi"/>
                <w:color w:val="000000"/>
              </w:rPr>
              <w:t xml:space="preserve">ccessfully adapted and </w:t>
            </w:r>
            <w:r w:rsidR="00AE5F67" w:rsidRPr="00F63AC2">
              <w:rPr>
                <w:rFonts w:asciiTheme="minorHAnsi" w:hAnsiTheme="minorHAnsi" w:cstheme="minorHAnsi"/>
                <w:color w:val="000000"/>
              </w:rPr>
              <w:t xml:space="preserve">developed to be ambitious and meet the needs of </w:t>
            </w:r>
            <w:r w:rsidRPr="00F63AC2">
              <w:rPr>
                <w:rFonts w:asciiTheme="minorHAnsi" w:hAnsiTheme="minorHAnsi" w:cstheme="minorHAnsi"/>
                <w:color w:val="000000"/>
              </w:rPr>
              <w:t xml:space="preserve">ALL pupils. This enables our pupils to </w:t>
            </w:r>
            <w:r w:rsidR="00AE5F67" w:rsidRPr="00F63AC2">
              <w:rPr>
                <w:rFonts w:asciiTheme="minorHAnsi" w:hAnsiTheme="minorHAnsi" w:cstheme="minorHAnsi"/>
                <w:color w:val="000000"/>
              </w:rPr>
              <w:t>d</w:t>
            </w:r>
            <w:r w:rsidRPr="00F63AC2">
              <w:rPr>
                <w:rFonts w:asciiTheme="minorHAnsi" w:hAnsiTheme="minorHAnsi" w:cstheme="minorHAnsi"/>
                <w:color w:val="000000"/>
              </w:rPr>
              <w:t>evelop</w:t>
            </w:r>
            <w:r w:rsidR="00AE5F67" w:rsidRPr="00F63AC2">
              <w:rPr>
                <w:rFonts w:asciiTheme="minorHAnsi" w:hAnsiTheme="minorHAnsi" w:cstheme="minorHAnsi"/>
                <w:color w:val="000000"/>
              </w:rPr>
              <w:t xml:space="preserve"> their knowledge, skills and abilities to apply what they know and can do with increasing fluency and independence.</w:t>
            </w:r>
            <w:r w:rsidRPr="00F63AC2">
              <w:rPr>
                <w:rFonts w:asciiTheme="minorHAnsi" w:hAnsiTheme="minorHAnsi" w:cstheme="minorHAnsi"/>
                <w:color w:val="000000"/>
              </w:rPr>
              <w:t xml:space="preserve">  </w:t>
            </w:r>
            <w:r w:rsidRPr="00F63AC2">
              <w:rPr>
                <w:rFonts w:asciiTheme="minorHAnsi" w:hAnsiTheme="minorHAnsi" w:cstheme="minorHAnsi"/>
                <w:iCs/>
                <w:color w:val="auto"/>
                <w:lang w:val="en-US"/>
              </w:rPr>
              <w:t xml:space="preserve">Our approach is responsive to common challenges and individual needs, rooted in robust diagnostic assessment, not assumptions about the impact of disadvantage. </w:t>
            </w:r>
          </w:p>
          <w:p w14:paraId="41B1349C" w14:textId="381B4F86" w:rsidR="00AE5F67" w:rsidRPr="00F63AC2" w:rsidRDefault="00AE5F67" w:rsidP="00AE5F67">
            <w:pPr>
              <w:pStyle w:val="NormalWeb"/>
              <w:rPr>
                <w:rFonts w:asciiTheme="minorHAnsi" w:hAnsiTheme="minorHAnsi" w:cstheme="minorHAnsi"/>
                <w:color w:val="000000"/>
              </w:rPr>
            </w:pPr>
            <w:r w:rsidRPr="00F63AC2">
              <w:rPr>
                <w:rFonts w:asciiTheme="minorHAnsi" w:hAnsiTheme="minorHAnsi" w:cstheme="minorHAnsi"/>
                <w:color w:val="000000"/>
              </w:rPr>
              <w:t>Pupils study the full curriculum; it is not narrowed.</w:t>
            </w:r>
            <w:r w:rsidR="00F253CD" w:rsidRPr="00F63AC2">
              <w:rPr>
                <w:rFonts w:asciiTheme="minorHAnsi" w:hAnsiTheme="minorHAnsi" w:cstheme="minorHAnsi"/>
                <w:color w:val="000000"/>
              </w:rPr>
              <w:t xml:space="preserve"> However, reading is prioritised to enable</w:t>
            </w:r>
            <w:r w:rsidRPr="00F63AC2">
              <w:rPr>
                <w:rFonts w:asciiTheme="minorHAnsi" w:hAnsiTheme="minorHAnsi" w:cstheme="minorHAnsi"/>
                <w:color w:val="000000"/>
              </w:rPr>
              <w:t xml:space="preserve"> pupils to access the full curriculum offer.</w:t>
            </w:r>
            <w:r w:rsidR="00F253CD" w:rsidRPr="00F63AC2">
              <w:rPr>
                <w:rFonts w:asciiTheme="minorHAnsi" w:hAnsiTheme="minorHAnsi" w:cstheme="minorHAnsi"/>
                <w:color w:val="000000"/>
              </w:rPr>
              <w:t xml:space="preserve"> </w:t>
            </w:r>
            <w:r w:rsidR="00F253CD" w:rsidRPr="00F63AC2">
              <w:rPr>
                <w:rStyle w:val="normaltextrun"/>
                <w:rFonts w:asciiTheme="minorHAnsi" w:hAnsiTheme="minorHAnsi" w:cstheme="minorHAnsi"/>
                <w:color w:val="000000"/>
                <w:shd w:val="clear" w:color="auto" w:fill="FFFFFF"/>
              </w:rPr>
              <w:t xml:space="preserve">Reading, vocabulary and oracy development are always prioritised in our school as we understand that reading and good oracy skills are the key to accessing learning across the whole curriculum.  We utilise recommendations from the Education Endowment Foundation to support our provision in school. It identifies that Reading Comprehension and self-regulation strategies have high impact on children’s learning.   The EEF recommends that ALL children must have access to high quality teaching that is “complemented with carefully selected interventions.”  These recommendations support our school priorities as we acknowledge that </w:t>
            </w:r>
            <w:proofErr w:type="gramStart"/>
            <w:r w:rsidR="00F253CD" w:rsidRPr="00F63AC2">
              <w:rPr>
                <w:rStyle w:val="normaltextrun"/>
                <w:rFonts w:asciiTheme="minorHAnsi" w:hAnsiTheme="minorHAnsi" w:cstheme="minorHAnsi"/>
                <w:color w:val="000000"/>
                <w:shd w:val="clear" w:color="auto" w:fill="FFFFFF"/>
              </w:rPr>
              <w:t>the majority of</w:t>
            </w:r>
            <w:proofErr w:type="gramEnd"/>
            <w:r w:rsidR="00F253CD" w:rsidRPr="00F63AC2">
              <w:rPr>
                <w:rStyle w:val="normaltextrun"/>
                <w:rFonts w:asciiTheme="minorHAnsi" w:hAnsiTheme="minorHAnsi" w:cstheme="minorHAnsi"/>
                <w:color w:val="000000"/>
                <w:shd w:val="clear" w:color="auto" w:fill="FFFFFF"/>
              </w:rPr>
              <w:t xml:space="preserve"> our children begin school with a need to develop their speaking and listening skills and build their language development.</w:t>
            </w:r>
          </w:p>
          <w:p w14:paraId="2A7D54E9" w14:textId="14499ED8" w:rsidR="00E66558" w:rsidRPr="00F63AC2" w:rsidRDefault="00AE5F67" w:rsidP="00F63AC2">
            <w:pPr>
              <w:spacing w:before="120"/>
              <w:rPr>
                <w:iCs/>
                <w:color w:val="auto"/>
                <w:lang w:val="en-US"/>
              </w:rPr>
            </w:pPr>
            <w:r w:rsidRPr="00F63AC2">
              <w:rPr>
                <w:rFonts w:asciiTheme="minorHAnsi" w:hAnsiTheme="minorHAnsi" w:cstheme="minorHAnsi"/>
                <w:color w:val="auto"/>
              </w:rPr>
              <w:t>Our strategy is also integral to wider school plans for education recovery, notably in its targeted support through the National Tutoring Programme for pupils whose education has been worst affected, including non-disadvantaged pupils.</w:t>
            </w:r>
            <w:r w:rsidRPr="00E27862">
              <w:rPr>
                <w:rFonts w:cs="Arial"/>
                <w:color w:val="auto"/>
              </w:rPr>
              <w:t xml:space="preserve">    </w:t>
            </w:r>
          </w:p>
        </w:tc>
      </w:tr>
    </w:tbl>
    <w:p w14:paraId="2A7D54EB" w14:textId="77777777" w:rsidR="00E66558" w:rsidRDefault="009D71E8">
      <w:pPr>
        <w:pStyle w:val="Heading2"/>
        <w:spacing w:before="600"/>
      </w:pPr>
      <w:r>
        <w:t>Challenges</w:t>
      </w:r>
    </w:p>
    <w:p w14:paraId="2A7D54EC" w14:textId="1BA84136"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r w:rsidR="00F63AC2" w:rsidRPr="00F63AC2">
        <w:rPr>
          <w:rFonts w:cs="Arial"/>
          <w:iCs/>
          <w:color w:val="auto"/>
          <w:lang w:val="en-US"/>
        </w:rPr>
        <w:t xml:space="preserve"> </w:t>
      </w:r>
      <w:r w:rsidR="00F63AC2" w:rsidRPr="00E27862">
        <w:rPr>
          <w:rFonts w:cs="Arial"/>
          <w:iCs/>
          <w:color w:val="auto"/>
          <w:lang w:val="en-US"/>
        </w:rPr>
        <w:t>Assessments, observations, and discussions with pupils</w:t>
      </w:r>
      <w:r w:rsidR="00F63AC2">
        <w:rPr>
          <w:rFonts w:cs="Arial"/>
          <w:iCs/>
          <w:color w:val="auto"/>
          <w:lang w:val="en-US"/>
        </w:rPr>
        <w:t>, teachers and parents have supported us to identify</w:t>
      </w:r>
      <w:r w:rsidR="00483D37">
        <w:rPr>
          <w:rFonts w:cs="Arial"/>
          <w:iCs/>
          <w:color w:val="auto"/>
          <w:lang w:val="en-US"/>
        </w:rPr>
        <w:t xml:space="preserve"> the outlined challenges.</w:t>
      </w:r>
    </w:p>
    <w:tbl>
      <w:tblPr>
        <w:tblW w:w="5000" w:type="pct"/>
        <w:tblCellMar>
          <w:left w:w="10" w:type="dxa"/>
          <w:right w:w="10" w:type="dxa"/>
        </w:tblCellMar>
        <w:tblLook w:val="04A0" w:firstRow="1" w:lastRow="0" w:firstColumn="1" w:lastColumn="0" w:noHBand="0" w:noVBand="1"/>
      </w:tblPr>
      <w:tblGrid>
        <w:gridCol w:w="1628"/>
        <w:gridCol w:w="8828"/>
      </w:tblGrid>
      <w:tr w:rsidR="00E66558" w14:paraId="2A7D54EF" w14:textId="77777777" w:rsidTr="4F80CB3B">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4F80CB3B">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0BBE8304" w:rsidR="00E66558" w:rsidRPr="00737808" w:rsidRDefault="00A71A62" w:rsidP="00A71A62">
            <w:pPr>
              <w:pageBreakBefore/>
              <w:spacing w:after="0" w:line="240" w:lineRule="auto"/>
              <w:rPr>
                <w:rFonts w:asciiTheme="minorHAnsi" w:hAnsiTheme="minorHAnsi" w:cstheme="minorHAnsi"/>
              </w:rPr>
            </w:pPr>
            <w:proofErr w:type="gramStart"/>
            <w:r w:rsidRPr="00737808">
              <w:rPr>
                <w:rStyle w:val="normaltextrun"/>
                <w:rFonts w:asciiTheme="minorHAnsi" w:hAnsiTheme="minorHAnsi" w:cstheme="minorHAnsi"/>
                <w:color w:val="000000"/>
                <w:shd w:val="clear" w:color="auto" w:fill="FFFFFF"/>
              </w:rPr>
              <w:t>The majority of</w:t>
            </w:r>
            <w:proofErr w:type="gramEnd"/>
            <w:r w:rsidRPr="00737808">
              <w:rPr>
                <w:rStyle w:val="normaltextrun"/>
                <w:rFonts w:asciiTheme="minorHAnsi" w:hAnsiTheme="minorHAnsi" w:cstheme="minorHAnsi"/>
                <w:color w:val="000000"/>
                <w:shd w:val="clear" w:color="auto" w:fill="FFFFFF"/>
              </w:rPr>
              <w:t xml:space="preserve"> our children begin school with a need to </w:t>
            </w:r>
            <w:r w:rsidR="000C6440" w:rsidRPr="00737808">
              <w:rPr>
                <w:rStyle w:val="normaltextrun"/>
                <w:rFonts w:asciiTheme="minorHAnsi" w:hAnsiTheme="minorHAnsi" w:cstheme="minorHAnsi"/>
                <w:color w:val="000000"/>
                <w:shd w:val="clear" w:color="auto" w:fill="FFFFFF"/>
              </w:rPr>
              <w:t xml:space="preserve">significantly </w:t>
            </w:r>
            <w:r w:rsidR="00737808">
              <w:rPr>
                <w:rStyle w:val="normaltextrun"/>
                <w:rFonts w:asciiTheme="minorHAnsi" w:hAnsiTheme="minorHAnsi" w:cstheme="minorHAnsi"/>
                <w:color w:val="000000"/>
                <w:shd w:val="clear" w:color="auto" w:fill="FFFFFF"/>
              </w:rPr>
              <w:t>develop their vocabulary.</w:t>
            </w:r>
          </w:p>
        </w:tc>
      </w:tr>
      <w:tr w:rsidR="00E66558" w14:paraId="2A7D54F8" w14:textId="77777777" w:rsidTr="4F80CB3B">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461BCF6" w:rsidR="00E66558" w:rsidRDefault="000C6440">
            <w:pPr>
              <w:pStyle w:val="TableRow"/>
              <w:rPr>
                <w:sz w:val="22"/>
                <w:szCs w:val="22"/>
              </w:rPr>
            </w:pPr>
            <w:r>
              <w:rPr>
                <w:sz w:val="22"/>
                <w:szCs w:val="22"/>
              </w:rPr>
              <w:t>2</w:t>
            </w:r>
          </w:p>
        </w:tc>
        <w:tc>
          <w:tcPr>
            <w:tcW w:w="8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7" w14:textId="549818C8" w:rsidR="00E66558" w:rsidRPr="00737808" w:rsidRDefault="1AF79E8B" w:rsidP="4F80CB3B">
            <w:pPr>
              <w:pStyle w:val="TableRowCentered"/>
              <w:jc w:val="left"/>
              <w:rPr>
                <w:rFonts w:asciiTheme="minorHAnsi" w:hAnsiTheme="minorHAnsi" w:cstheme="minorBidi"/>
              </w:rPr>
            </w:pPr>
            <w:r w:rsidRPr="4F80CB3B">
              <w:rPr>
                <w:rFonts w:asciiTheme="minorHAnsi" w:hAnsiTheme="minorHAnsi" w:cstheme="minorBidi"/>
              </w:rPr>
              <w:t>Our tracking systems show that m</w:t>
            </w:r>
            <w:r w:rsidR="2167C909" w:rsidRPr="4F80CB3B">
              <w:rPr>
                <w:rFonts w:asciiTheme="minorHAnsi" w:hAnsiTheme="minorHAnsi" w:cstheme="minorBidi"/>
              </w:rPr>
              <w:t xml:space="preserve">any </w:t>
            </w:r>
            <w:r w:rsidR="22C4C60F" w:rsidRPr="4F80CB3B">
              <w:rPr>
                <w:rFonts w:asciiTheme="minorHAnsi" w:hAnsiTheme="minorHAnsi" w:cstheme="minorBidi"/>
              </w:rPr>
              <w:t>d</w:t>
            </w:r>
            <w:r w:rsidR="009B7C68" w:rsidRPr="4F80CB3B">
              <w:rPr>
                <w:rFonts w:asciiTheme="minorHAnsi" w:hAnsiTheme="minorHAnsi" w:cstheme="minorBidi"/>
              </w:rPr>
              <w:t>isadvantaged pu</w:t>
            </w:r>
            <w:r w:rsidR="2167C909" w:rsidRPr="4F80CB3B">
              <w:rPr>
                <w:rFonts w:asciiTheme="minorHAnsi" w:hAnsiTheme="minorHAnsi" w:cstheme="minorBidi"/>
              </w:rPr>
              <w:t>pils within our school read for pleasure</w:t>
            </w:r>
            <w:r w:rsidR="587A2425" w:rsidRPr="4F80CB3B">
              <w:rPr>
                <w:rFonts w:asciiTheme="minorHAnsi" w:hAnsiTheme="minorHAnsi" w:cstheme="minorBidi"/>
              </w:rPr>
              <w:t xml:space="preserve"> less when compared with </w:t>
            </w:r>
            <w:r w:rsidRPr="4F80CB3B">
              <w:rPr>
                <w:rFonts w:asciiTheme="minorHAnsi" w:hAnsiTheme="minorHAnsi" w:cstheme="minorBidi"/>
              </w:rPr>
              <w:t>other children.</w:t>
            </w:r>
          </w:p>
        </w:tc>
      </w:tr>
      <w:tr w:rsidR="00E66558" w14:paraId="2A7D54FB" w14:textId="77777777" w:rsidTr="4F80CB3B">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3683DDDD" w:rsidR="00E66558" w:rsidRDefault="000C6440">
            <w:pPr>
              <w:pStyle w:val="TableRow"/>
              <w:rPr>
                <w:sz w:val="22"/>
                <w:szCs w:val="22"/>
              </w:rPr>
            </w:pPr>
            <w:r>
              <w:rPr>
                <w:sz w:val="22"/>
                <w:szCs w:val="22"/>
              </w:rPr>
              <w:lastRenderedPageBreak/>
              <w:t>3</w:t>
            </w:r>
          </w:p>
        </w:tc>
        <w:tc>
          <w:tcPr>
            <w:tcW w:w="8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A" w14:textId="7A01974C" w:rsidR="00F63AC2" w:rsidRPr="00737808" w:rsidRDefault="0012664B" w:rsidP="00F63AC2">
            <w:pPr>
              <w:pStyle w:val="TableRowCentered"/>
              <w:jc w:val="left"/>
              <w:rPr>
                <w:rFonts w:asciiTheme="minorHAnsi" w:hAnsiTheme="minorHAnsi" w:cstheme="minorHAnsi"/>
                <w:iCs/>
                <w:szCs w:val="24"/>
              </w:rPr>
            </w:pPr>
            <w:r>
              <w:rPr>
                <w:rFonts w:asciiTheme="minorHAnsi" w:hAnsiTheme="minorHAnsi" w:cstheme="minorHAnsi"/>
                <w:iCs/>
                <w:szCs w:val="24"/>
              </w:rPr>
              <w:t>Our attendance data shows that a</w:t>
            </w:r>
            <w:r w:rsidR="009B7C68" w:rsidRPr="00737808">
              <w:rPr>
                <w:rFonts w:asciiTheme="minorHAnsi" w:hAnsiTheme="minorHAnsi" w:cstheme="minorHAnsi"/>
                <w:iCs/>
                <w:szCs w:val="24"/>
              </w:rPr>
              <w:t>ttendance of our disadvantaged pupils is lower</w:t>
            </w:r>
            <w:r>
              <w:rPr>
                <w:rFonts w:asciiTheme="minorHAnsi" w:hAnsiTheme="minorHAnsi" w:cstheme="minorHAnsi"/>
                <w:iCs/>
                <w:szCs w:val="24"/>
              </w:rPr>
              <w:t xml:space="preserve"> when compared with other pupils this includes proportions of children who are late for school. </w:t>
            </w:r>
          </w:p>
        </w:tc>
      </w:tr>
      <w:tr w:rsidR="00E66558" w14:paraId="2A7D54FE" w14:textId="77777777" w:rsidTr="4F80CB3B">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C" w14:textId="358BA012" w:rsidR="00E66558" w:rsidRDefault="00737808">
            <w:pPr>
              <w:pStyle w:val="TableRow"/>
              <w:rPr>
                <w:sz w:val="22"/>
                <w:szCs w:val="22"/>
              </w:rPr>
            </w:pPr>
            <w:bookmarkStart w:id="16" w:name="_Toc443397160"/>
            <w:r>
              <w:rPr>
                <w:sz w:val="22"/>
                <w:szCs w:val="22"/>
              </w:rPr>
              <w:t>4</w:t>
            </w:r>
          </w:p>
        </w:tc>
        <w:tc>
          <w:tcPr>
            <w:tcW w:w="8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D" w14:textId="0CA55807" w:rsidR="00E66558" w:rsidRPr="00737808" w:rsidRDefault="00737808">
            <w:pPr>
              <w:pStyle w:val="TableRowCentered"/>
              <w:jc w:val="left"/>
              <w:rPr>
                <w:rFonts w:asciiTheme="minorHAnsi" w:hAnsiTheme="minorHAnsi" w:cstheme="minorHAnsi"/>
                <w:iCs/>
                <w:szCs w:val="24"/>
              </w:rPr>
            </w:pPr>
            <w:r w:rsidRPr="00737808">
              <w:rPr>
                <w:rFonts w:asciiTheme="minorHAnsi" w:hAnsiTheme="minorHAnsi" w:cstheme="minorHAnsi"/>
                <w:iCs/>
                <w:color w:val="auto"/>
              </w:rPr>
              <w:t>The education and wellbeing of m</w:t>
            </w:r>
            <w:r w:rsidRPr="00737808">
              <w:rPr>
                <w:rFonts w:asciiTheme="minorHAnsi" w:hAnsiTheme="minorHAnsi" w:cstheme="minorHAnsi"/>
                <w:color w:val="auto"/>
              </w:rPr>
              <w:t xml:space="preserve">any of our disadvantaged pupils have been impacted by partial school closures to a greater extent than for other pupils. These findings are supported by national studies. Therefore, a </w:t>
            </w:r>
            <w:r w:rsidR="00A71A62" w:rsidRPr="00737808">
              <w:rPr>
                <w:rFonts w:asciiTheme="minorHAnsi" w:hAnsiTheme="minorHAnsi" w:cstheme="minorHAnsi"/>
                <w:iCs/>
                <w:szCs w:val="24"/>
              </w:rPr>
              <w:t xml:space="preserve">high proportion of </w:t>
            </w:r>
            <w:r w:rsidRPr="00737808">
              <w:rPr>
                <w:rFonts w:asciiTheme="minorHAnsi" w:hAnsiTheme="minorHAnsi" w:cstheme="minorHAnsi"/>
                <w:iCs/>
                <w:szCs w:val="24"/>
              </w:rPr>
              <w:t>disadvantaged pupils have</w:t>
            </w:r>
            <w:r w:rsidR="00A71A62" w:rsidRPr="00737808">
              <w:rPr>
                <w:rFonts w:asciiTheme="minorHAnsi" w:hAnsiTheme="minorHAnsi" w:cstheme="minorHAnsi"/>
                <w:iCs/>
                <w:szCs w:val="24"/>
              </w:rPr>
              <w:t xml:space="preserve"> lower </w:t>
            </w:r>
            <w:r w:rsidR="00483D37" w:rsidRPr="00737808">
              <w:rPr>
                <w:rFonts w:asciiTheme="minorHAnsi" w:hAnsiTheme="minorHAnsi" w:cstheme="minorHAnsi"/>
                <w:iCs/>
                <w:szCs w:val="24"/>
              </w:rPr>
              <w:t>self-regulation</w:t>
            </w:r>
            <w:r w:rsidR="00A71A62" w:rsidRPr="00737808">
              <w:rPr>
                <w:rFonts w:asciiTheme="minorHAnsi" w:hAnsiTheme="minorHAnsi" w:cstheme="minorHAnsi"/>
                <w:iCs/>
                <w:szCs w:val="24"/>
              </w:rPr>
              <w:t xml:space="preserve"> skills</w:t>
            </w:r>
            <w:r w:rsidRPr="00737808">
              <w:rPr>
                <w:rFonts w:asciiTheme="minorHAnsi" w:hAnsiTheme="minorHAnsi" w:cstheme="minorHAnsi"/>
                <w:iCs/>
                <w:szCs w:val="24"/>
              </w:rPr>
              <w:t xml:space="preserve"> that impacts directly on </w:t>
            </w:r>
            <w:r w:rsidR="00A71A62" w:rsidRPr="00737808">
              <w:rPr>
                <w:rFonts w:asciiTheme="minorHAnsi" w:hAnsiTheme="minorHAnsi" w:cstheme="minorHAnsi"/>
                <w:iCs/>
                <w:szCs w:val="24"/>
              </w:rPr>
              <w:t>cognitive regulation.</w:t>
            </w:r>
            <w:r w:rsidRPr="00737808">
              <w:rPr>
                <w:rFonts w:asciiTheme="minorHAnsi" w:hAnsiTheme="minorHAnsi" w:cstheme="minorHAnsi"/>
                <w:iCs/>
                <w:szCs w:val="24"/>
              </w:rPr>
              <w:t xml:space="preserve">  </w:t>
            </w:r>
            <w:r w:rsidRPr="00737808">
              <w:rPr>
                <w:rFonts w:asciiTheme="minorHAnsi" w:hAnsiTheme="minorHAnsi" w:cstheme="minorHAnsi"/>
                <w:color w:val="auto"/>
              </w:rPr>
              <w:t>This has resulted in significant knowledge gaps leading to pupils falling further behind age-related expectations</w:t>
            </w:r>
          </w:p>
        </w:tc>
      </w:tr>
    </w:tbl>
    <w:p w14:paraId="2A7D54FF" w14:textId="77777777" w:rsidR="00E66558" w:rsidRDefault="009D71E8">
      <w:pPr>
        <w:pStyle w:val="Heading2"/>
        <w:spacing w:before="600"/>
      </w:pPr>
      <w:r>
        <w:t xml:space="preserve">Intended </w:t>
      </w:r>
      <w:proofErr w:type="gramStart"/>
      <w:r>
        <w:t>outcomes</w:t>
      </w:r>
      <w:proofErr w:type="gramEnd"/>
      <w:r>
        <w:t xml:space="preserve">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3119"/>
        <w:gridCol w:w="7337"/>
      </w:tblGrid>
      <w:tr w:rsidR="00DD0380" w14:paraId="7679FB97" w14:textId="77777777" w:rsidTr="29901215">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772D1FE3" w14:textId="77777777" w:rsidR="00DD0380" w:rsidRDefault="00DD0380" w:rsidP="00F46B22">
            <w:pPr>
              <w:pStyle w:val="TableHeader"/>
              <w:jc w:val="left"/>
            </w:pPr>
            <w:r>
              <w:t>Intended outcome</w:t>
            </w:r>
          </w:p>
        </w:tc>
        <w:tc>
          <w:tcPr>
            <w:tcW w:w="73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192D35E9" w14:textId="77777777" w:rsidR="00DD0380" w:rsidRDefault="00DD0380" w:rsidP="00F46B22">
            <w:pPr>
              <w:pStyle w:val="TableHeader"/>
              <w:jc w:val="left"/>
            </w:pPr>
            <w:r>
              <w:t>Success criteria</w:t>
            </w:r>
          </w:p>
        </w:tc>
      </w:tr>
      <w:tr w:rsidR="00DD0380" w:rsidRPr="0039453A" w14:paraId="1CB89C00" w14:textId="77777777" w:rsidTr="29901215">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0B5C8CA" w14:textId="77777777" w:rsidR="00DD0380" w:rsidRPr="0039453A" w:rsidRDefault="00DD0380" w:rsidP="00F46B22">
            <w:pPr>
              <w:pStyle w:val="TableRow"/>
              <w:spacing w:after="120"/>
              <w:rPr>
                <w:rFonts w:cs="Arial"/>
                <w:color w:val="auto"/>
                <w:sz w:val="20"/>
                <w:szCs w:val="20"/>
              </w:rPr>
            </w:pPr>
            <w:r w:rsidRPr="0039453A">
              <w:rPr>
                <w:rFonts w:cs="Arial"/>
                <w:color w:val="auto"/>
                <w:sz w:val="20"/>
                <w:szCs w:val="20"/>
              </w:rPr>
              <w:t xml:space="preserve">Improved oral language skills and vocabulary among disadvantaged pupils. </w:t>
            </w:r>
          </w:p>
        </w:tc>
        <w:tc>
          <w:tcPr>
            <w:tcW w:w="73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18E4CDD1" w14:textId="77777777" w:rsidR="00DD0380" w:rsidRPr="0039453A" w:rsidRDefault="00DD0380" w:rsidP="00F46B22">
            <w:pPr>
              <w:suppressAutoHyphens w:val="0"/>
              <w:autoSpaceDN/>
              <w:spacing w:before="60" w:after="120" w:line="240" w:lineRule="auto"/>
              <w:ind w:left="57" w:right="57"/>
              <w:rPr>
                <w:rFonts w:cs="Arial"/>
                <w:color w:val="auto"/>
                <w:sz w:val="20"/>
                <w:szCs w:val="20"/>
              </w:rPr>
            </w:pPr>
            <w:r w:rsidRPr="0039453A">
              <w:rPr>
                <w:rFonts w:cs="Arial"/>
                <w:color w:val="auto"/>
                <w:sz w:val="20"/>
                <w:szCs w:val="20"/>
              </w:rPr>
              <w:t xml:space="preserve">Assessments and observations indicate significantly improved oral language among disadvantaged pupils. </w:t>
            </w:r>
            <w:r w:rsidRPr="0039453A">
              <w:rPr>
                <w:color w:val="auto"/>
                <w:sz w:val="20"/>
                <w:szCs w:val="20"/>
              </w:rPr>
              <w:t>This is evident when triangulated with other sources of evidence, including engagement in lessons, book scrutiny and ongoing formative assessment.</w:t>
            </w:r>
          </w:p>
        </w:tc>
      </w:tr>
      <w:tr w:rsidR="00DD0380" w:rsidRPr="0039453A" w14:paraId="222CEBB5" w14:textId="77777777" w:rsidTr="29901215">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1457401" w14:textId="75E4CE79" w:rsidR="00DD0380" w:rsidRPr="0039453A" w:rsidRDefault="00DD0380" w:rsidP="00F46B22">
            <w:pPr>
              <w:pStyle w:val="TableRow"/>
              <w:spacing w:after="120"/>
              <w:ind w:left="29"/>
              <w:rPr>
                <w:rFonts w:cs="Arial"/>
                <w:color w:val="auto"/>
                <w:sz w:val="20"/>
                <w:szCs w:val="20"/>
              </w:rPr>
            </w:pPr>
            <w:r w:rsidRPr="0039453A">
              <w:rPr>
                <w:rFonts w:cs="Arial"/>
                <w:color w:val="auto"/>
                <w:sz w:val="20"/>
                <w:szCs w:val="20"/>
              </w:rPr>
              <w:t>Improved reading, writing and maths attainment among disadvantaged pupils by the end of KS2.</w:t>
            </w:r>
          </w:p>
        </w:tc>
        <w:tc>
          <w:tcPr>
            <w:tcW w:w="73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D710D9F" w14:textId="0B47F222" w:rsidR="00DD0380" w:rsidRDefault="00DD0380" w:rsidP="00DD0380">
            <w:pPr>
              <w:pStyle w:val="TableRowCentered"/>
              <w:spacing w:after="120"/>
              <w:jc w:val="left"/>
              <w:rPr>
                <w:rFonts w:cs="Arial"/>
                <w:color w:val="auto"/>
                <w:sz w:val="20"/>
                <w:lang w:eastAsia="en-US"/>
              </w:rPr>
            </w:pPr>
            <w:r w:rsidRPr="0039453A">
              <w:rPr>
                <w:rFonts w:cs="Arial"/>
                <w:color w:val="auto"/>
                <w:sz w:val="20"/>
              </w:rPr>
              <w:t>KS2</w:t>
            </w:r>
            <w:r w:rsidRPr="0039453A">
              <w:rPr>
                <w:rFonts w:cs="Arial"/>
                <w:color w:val="auto"/>
                <w:sz w:val="20"/>
                <w:lang w:eastAsia="en-US"/>
              </w:rPr>
              <w:t xml:space="preserve"> outcomes in 2024/25 show that disadvantaged pupils achieve </w:t>
            </w:r>
            <w:r w:rsidR="0039453A">
              <w:rPr>
                <w:rFonts w:cs="Arial"/>
                <w:color w:val="auto"/>
                <w:sz w:val="20"/>
                <w:lang w:eastAsia="en-US"/>
              </w:rPr>
              <w:t>(</w:t>
            </w:r>
            <w:r w:rsidRPr="0039453A">
              <w:rPr>
                <w:rFonts w:cs="Arial"/>
                <w:color w:val="auto"/>
                <w:sz w:val="20"/>
                <w:lang w:eastAsia="en-US"/>
              </w:rPr>
              <w:t>at least</w:t>
            </w:r>
            <w:r w:rsidR="0039453A">
              <w:rPr>
                <w:rFonts w:cs="Arial"/>
                <w:color w:val="auto"/>
                <w:sz w:val="20"/>
                <w:lang w:eastAsia="en-US"/>
              </w:rPr>
              <w:t>)</w:t>
            </w:r>
            <w:r w:rsidRPr="0039453A">
              <w:rPr>
                <w:rFonts w:cs="Arial"/>
                <w:color w:val="auto"/>
                <w:sz w:val="20"/>
                <w:lang w:eastAsia="en-US"/>
              </w:rPr>
              <w:t xml:space="preserve"> national progress and attainment scores.</w:t>
            </w:r>
          </w:p>
          <w:p w14:paraId="7FD7CB39" w14:textId="77777777" w:rsidR="0039453A" w:rsidRDefault="0039453A" w:rsidP="00DD0380">
            <w:pPr>
              <w:pStyle w:val="TableRowCentered"/>
              <w:spacing w:after="120"/>
              <w:jc w:val="left"/>
              <w:rPr>
                <w:rFonts w:cs="Arial"/>
                <w:color w:val="auto"/>
                <w:sz w:val="20"/>
                <w:lang w:eastAsia="en-US"/>
              </w:rPr>
            </w:pPr>
          </w:p>
          <w:p w14:paraId="1080398F" w14:textId="7DB0B9E0" w:rsidR="0039453A" w:rsidRPr="0039453A" w:rsidRDefault="0039453A" w:rsidP="00DD0380">
            <w:pPr>
              <w:pStyle w:val="TableRowCentered"/>
              <w:spacing w:after="120"/>
              <w:jc w:val="left"/>
              <w:rPr>
                <w:rFonts w:cs="Arial"/>
                <w:color w:val="auto"/>
                <w:sz w:val="20"/>
                <w:lang w:eastAsia="en-US"/>
              </w:rPr>
            </w:pPr>
          </w:p>
        </w:tc>
      </w:tr>
      <w:tr w:rsidR="0039453A" w:rsidRPr="0039453A" w14:paraId="5345E08D" w14:textId="77777777" w:rsidTr="29901215">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B1AD785" w14:textId="7CDCCD1F" w:rsidR="0039453A" w:rsidRPr="0039453A" w:rsidRDefault="0039453A" w:rsidP="00F46B22">
            <w:pPr>
              <w:pStyle w:val="TableRow"/>
              <w:spacing w:after="120"/>
              <w:ind w:left="29"/>
              <w:rPr>
                <w:rFonts w:cs="Arial"/>
                <w:color w:val="auto"/>
                <w:sz w:val="20"/>
                <w:szCs w:val="20"/>
              </w:rPr>
            </w:pPr>
            <w:r>
              <w:rPr>
                <w:rFonts w:cs="Arial"/>
                <w:color w:val="auto"/>
                <w:sz w:val="20"/>
                <w:szCs w:val="20"/>
              </w:rPr>
              <w:t>Improved PSC outcomes by the end of Y1.</w:t>
            </w:r>
          </w:p>
        </w:tc>
        <w:tc>
          <w:tcPr>
            <w:tcW w:w="73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CAD478" w14:textId="0EC6F937" w:rsidR="0039453A" w:rsidRPr="0039453A" w:rsidRDefault="0039453A" w:rsidP="0039453A">
            <w:pPr>
              <w:pStyle w:val="TableRowCentered"/>
              <w:spacing w:after="120"/>
              <w:jc w:val="left"/>
              <w:rPr>
                <w:rFonts w:cs="Arial"/>
                <w:color w:val="auto"/>
                <w:sz w:val="20"/>
                <w:lang w:eastAsia="en-US"/>
              </w:rPr>
            </w:pPr>
            <w:r>
              <w:rPr>
                <w:rFonts w:cs="Arial"/>
                <w:color w:val="auto"/>
                <w:sz w:val="20"/>
              </w:rPr>
              <w:t xml:space="preserve">PSC </w:t>
            </w:r>
            <w:r w:rsidRPr="0039453A">
              <w:rPr>
                <w:rFonts w:cs="Arial"/>
                <w:color w:val="auto"/>
                <w:sz w:val="20"/>
                <w:lang w:eastAsia="en-US"/>
              </w:rPr>
              <w:t xml:space="preserve">outcomes in 2024/25 show that disadvantaged pupils achieve </w:t>
            </w:r>
            <w:r>
              <w:rPr>
                <w:rFonts w:cs="Arial"/>
                <w:color w:val="auto"/>
                <w:sz w:val="20"/>
                <w:lang w:eastAsia="en-US"/>
              </w:rPr>
              <w:t xml:space="preserve">(at least) national </w:t>
            </w:r>
            <w:r w:rsidRPr="0039453A">
              <w:rPr>
                <w:rFonts w:cs="Arial"/>
                <w:color w:val="auto"/>
                <w:sz w:val="20"/>
                <w:lang w:eastAsia="en-US"/>
              </w:rPr>
              <w:t>attainment</w:t>
            </w:r>
            <w:r>
              <w:rPr>
                <w:rFonts w:cs="Arial"/>
                <w:color w:val="auto"/>
                <w:sz w:val="20"/>
                <w:lang w:eastAsia="en-US"/>
              </w:rPr>
              <w:t xml:space="preserve"> scores and differences between other pupils are diminished.</w:t>
            </w:r>
          </w:p>
        </w:tc>
      </w:tr>
      <w:tr w:rsidR="00DD0380" w:rsidRPr="0039453A" w14:paraId="29425229" w14:textId="77777777" w:rsidTr="29901215">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ADEBD58" w14:textId="77777777" w:rsidR="00DD0380" w:rsidRPr="0039453A" w:rsidRDefault="00DD0380" w:rsidP="00F46B22">
            <w:pPr>
              <w:spacing w:before="60" w:line="240" w:lineRule="auto"/>
              <w:ind w:left="29"/>
              <w:rPr>
                <w:rFonts w:cs="Arial"/>
                <w:color w:val="auto"/>
                <w:sz w:val="20"/>
                <w:szCs w:val="20"/>
              </w:rPr>
            </w:pPr>
            <w:r w:rsidRPr="0039453A">
              <w:rPr>
                <w:rFonts w:cs="Arial"/>
                <w:color w:val="auto"/>
                <w:sz w:val="20"/>
                <w:szCs w:val="20"/>
              </w:rPr>
              <w:t>To achieve and sustain improved wellbeing for all pupils in our school, particularly our disadvantaged pupils.</w:t>
            </w:r>
          </w:p>
        </w:tc>
        <w:tc>
          <w:tcPr>
            <w:tcW w:w="73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12B4C2" w14:textId="77777777" w:rsidR="00DD0380" w:rsidRPr="0039453A" w:rsidRDefault="00DD0380" w:rsidP="00F46B22">
            <w:pPr>
              <w:suppressAutoHyphens w:val="0"/>
              <w:autoSpaceDN/>
              <w:spacing w:before="60" w:after="60" w:line="240" w:lineRule="auto"/>
              <w:ind w:left="34" w:right="57"/>
              <w:rPr>
                <w:rFonts w:cs="Arial"/>
                <w:color w:val="auto"/>
                <w:sz w:val="20"/>
                <w:szCs w:val="20"/>
              </w:rPr>
            </w:pPr>
            <w:r w:rsidRPr="0039453A">
              <w:rPr>
                <w:rFonts w:cs="Arial"/>
                <w:color w:val="auto"/>
                <w:sz w:val="20"/>
                <w:szCs w:val="20"/>
              </w:rPr>
              <w:t>Sustained high levels of wellbeing from 2024/25 demonstrated by:</w:t>
            </w:r>
          </w:p>
          <w:p w14:paraId="6EAD3D82" w14:textId="77777777" w:rsidR="00DD0380" w:rsidRPr="0039453A" w:rsidRDefault="00DD0380" w:rsidP="00DD0380">
            <w:pPr>
              <w:pStyle w:val="ListParagraph"/>
              <w:numPr>
                <w:ilvl w:val="0"/>
                <w:numId w:val="23"/>
              </w:numPr>
              <w:suppressAutoHyphens w:val="0"/>
              <w:autoSpaceDN/>
              <w:spacing w:before="60" w:after="120" w:line="240" w:lineRule="auto"/>
              <w:ind w:right="57" w:hanging="357"/>
              <w:contextualSpacing w:val="0"/>
              <w:rPr>
                <w:rFonts w:cs="Arial"/>
                <w:color w:val="auto"/>
                <w:sz w:val="20"/>
                <w:szCs w:val="20"/>
              </w:rPr>
            </w:pPr>
            <w:r w:rsidRPr="0039453A">
              <w:rPr>
                <w:rFonts w:cs="Arial"/>
                <w:color w:val="auto"/>
                <w:sz w:val="20"/>
                <w:szCs w:val="20"/>
              </w:rPr>
              <w:t>qualitative data from student voice, student and parent surveys and teacher observations</w:t>
            </w:r>
          </w:p>
          <w:p w14:paraId="5228AC18" w14:textId="51554AB8" w:rsidR="00DD0380" w:rsidRPr="0039453A" w:rsidRDefault="00DD0380" w:rsidP="00DD0380">
            <w:pPr>
              <w:pStyle w:val="ListParagraph"/>
              <w:numPr>
                <w:ilvl w:val="0"/>
                <w:numId w:val="23"/>
              </w:numPr>
              <w:suppressAutoHyphens w:val="0"/>
              <w:autoSpaceDN/>
              <w:spacing w:before="60" w:after="120" w:line="240" w:lineRule="auto"/>
              <w:ind w:right="57" w:hanging="357"/>
              <w:contextualSpacing w:val="0"/>
              <w:rPr>
                <w:rFonts w:cs="Arial"/>
                <w:color w:val="auto"/>
                <w:sz w:val="20"/>
                <w:szCs w:val="20"/>
              </w:rPr>
            </w:pPr>
            <w:r w:rsidRPr="0039453A">
              <w:rPr>
                <w:rFonts w:cs="Arial"/>
                <w:color w:val="auto"/>
                <w:sz w:val="20"/>
                <w:szCs w:val="20"/>
              </w:rPr>
              <w:t xml:space="preserve">Emotion </w:t>
            </w:r>
            <w:r w:rsidR="00483D37" w:rsidRPr="0039453A">
              <w:rPr>
                <w:rFonts w:cs="Arial"/>
                <w:color w:val="auto"/>
                <w:sz w:val="20"/>
                <w:szCs w:val="20"/>
              </w:rPr>
              <w:t>coaching</w:t>
            </w:r>
            <w:r w:rsidRPr="0039453A">
              <w:rPr>
                <w:rFonts w:cs="Arial"/>
                <w:color w:val="auto"/>
                <w:sz w:val="20"/>
                <w:szCs w:val="20"/>
              </w:rPr>
              <w:t xml:space="preserve"> reflective logs as completed by all staff.</w:t>
            </w:r>
          </w:p>
          <w:p w14:paraId="4FFE4FD6" w14:textId="77777777" w:rsidR="00DD0380" w:rsidRDefault="00DD0380" w:rsidP="00DD0380">
            <w:pPr>
              <w:pStyle w:val="ListParagraph"/>
              <w:numPr>
                <w:ilvl w:val="0"/>
                <w:numId w:val="23"/>
              </w:numPr>
              <w:suppressAutoHyphens w:val="0"/>
              <w:autoSpaceDN/>
              <w:spacing w:before="60" w:after="120" w:line="240" w:lineRule="auto"/>
              <w:ind w:right="57" w:hanging="357"/>
              <w:contextualSpacing w:val="0"/>
              <w:rPr>
                <w:rFonts w:cs="Arial"/>
                <w:color w:val="auto"/>
                <w:sz w:val="20"/>
                <w:szCs w:val="20"/>
              </w:rPr>
            </w:pPr>
            <w:r w:rsidRPr="0039453A">
              <w:rPr>
                <w:rFonts w:cs="Arial"/>
                <w:color w:val="auto"/>
                <w:sz w:val="20"/>
                <w:szCs w:val="20"/>
              </w:rPr>
              <w:t>A reduction of incident logs on CPOMS.</w:t>
            </w:r>
          </w:p>
          <w:p w14:paraId="129996FE" w14:textId="6D059615" w:rsidR="002F461D" w:rsidRPr="0039453A" w:rsidRDefault="002F461D" w:rsidP="00DD0380">
            <w:pPr>
              <w:pStyle w:val="ListParagraph"/>
              <w:numPr>
                <w:ilvl w:val="0"/>
                <w:numId w:val="23"/>
              </w:numPr>
              <w:suppressAutoHyphens w:val="0"/>
              <w:autoSpaceDN/>
              <w:spacing w:before="60" w:after="120" w:line="240" w:lineRule="auto"/>
              <w:ind w:right="57" w:hanging="357"/>
              <w:contextualSpacing w:val="0"/>
              <w:rPr>
                <w:rFonts w:cs="Arial"/>
                <w:color w:val="auto"/>
                <w:sz w:val="20"/>
                <w:szCs w:val="20"/>
              </w:rPr>
            </w:pPr>
            <w:r>
              <w:rPr>
                <w:rFonts w:cs="Arial"/>
                <w:color w:val="auto"/>
                <w:sz w:val="20"/>
                <w:szCs w:val="20"/>
              </w:rPr>
              <w:t>Develop a mental health lead.</w:t>
            </w:r>
          </w:p>
        </w:tc>
      </w:tr>
      <w:tr w:rsidR="00DD0380" w:rsidRPr="0039453A" w14:paraId="17F7106B" w14:textId="77777777" w:rsidTr="29901215">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56B819" w14:textId="6B0BB43A" w:rsidR="00DD0380" w:rsidRPr="0039453A" w:rsidRDefault="00DD0380" w:rsidP="00F46B22">
            <w:pPr>
              <w:pStyle w:val="TableRow"/>
              <w:ind w:left="29"/>
              <w:rPr>
                <w:rFonts w:cs="Arial"/>
                <w:color w:val="auto"/>
                <w:sz w:val="20"/>
                <w:szCs w:val="20"/>
              </w:rPr>
            </w:pPr>
            <w:r w:rsidRPr="0039453A">
              <w:rPr>
                <w:rFonts w:cs="Arial"/>
                <w:color w:val="auto"/>
                <w:sz w:val="20"/>
                <w:szCs w:val="20"/>
              </w:rPr>
              <w:t>To achieve and sustain improved attendance</w:t>
            </w:r>
            <w:r w:rsidR="0039453A" w:rsidRPr="0039453A">
              <w:rPr>
                <w:rFonts w:cs="Arial"/>
                <w:color w:val="auto"/>
                <w:sz w:val="20"/>
                <w:szCs w:val="20"/>
              </w:rPr>
              <w:t xml:space="preserve"> and punctuality</w:t>
            </w:r>
            <w:r w:rsidRPr="0039453A">
              <w:rPr>
                <w:rFonts w:cs="Arial"/>
                <w:color w:val="auto"/>
                <w:sz w:val="20"/>
                <w:szCs w:val="20"/>
              </w:rPr>
              <w:t xml:space="preserve"> for all pupils, particularly our disadvantaged pupils.</w:t>
            </w:r>
          </w:p>
        </w:tc>
        <w:tc>
          <w:tcPr>
            <w:tcW w:w="73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E182AE" w14:textId="77777777" w:rsidR="00DD0380" w:rsidRPr="0039453A" w:rsidRDefault="00DD0380" w:rsidP="00F46B22">
            <w:pPr>
              <w:suppressAutoHyphens w:val="0"/>
              <w:autoSpaceDN/>
              <w:spacing w:before="60" w:after="60" w:line="240" w:lineRule="auto"/>
              <w:ind w:left="57" w:right="57"/>
              <w:rPr>
                <w:rFonts w:cs="Arial"/>
                <w:color w:val="auto"/>
                <w:sz w:val="20"/>
                <w:szCs w:val="20"/>
              </w:rPr>
            </w:pPr>
            <w:r w:rsidRPr="0039453A">
              <w:rPr>
                <w:rFonts w:cs="Arial"/>
                <w:color w:val="auto"/>
                <w:sz w:val="20"/>
                <w:szCs w:val="20"/>
              </w:rPr>
              <w:t>Sustained high attendance from 2024/25 demonstrated by:</w:t>
            </w:r>
          </w:p>
          <w:p w14:paraId="6B5F20C1" w14:textId="551D3715" w:rsidR="00DD0380" w:rsidRPr="0039453A" w:rsidRDefault="00483D37" w:rsidP="00DD0380">
            <w:pPr>
              <w:pStyle w:val="ListParagraph"/>
              <w:numPr>
                <w:ilvl w:val="0"/>
                <w:numId w:val="22"/>
              </w:numPr>
              <w:suppressAutoHyphens w:val="0"/>
              <w:autoSpaceDN/>
              <w:spacing w:before="60" w:after="60" w:line="240" w:lineRule="auto"/>
              <w:ind w:right="57"/>
              <w:rPr>
                <w:rFonts w:cs="Arial"/>
                <w:color w:val="auto"/>
                <w:sz w:val="20"/>
                <w:szCs w:val="20"/>
              </w:rPr>
            </w:pPr>
            <w:r w:rsidRPr="0039453A">
              <w:rPr>
                <w:rFonts w:cs="Arial"/>
                <w:color w:val="auto"/>
                <w:sz w:val="20"/>
                <w:szCs w:val="20"/>
              </w:rPr>
              <w:t>The</w:t>
            </w:r>
            <w:r w:rsidR="00DD0380" w:rsidRPr="0039453A">
              <w:rPr>
                <w:rFonts w:cs="Arial"/>
                <w:color w:val="auto"/>
                <w:sz w:val="20"/>
                <w:szCs w:val="20"/>
              </w:rPr>
              <w:t xml:space="preserve"> overall absence rate for all pupils being at least in line with national figures. </w:t>
            </w:r>
            <w:r w:rsidR="0039453A" w:rsidRPr="0039453A">
              <w:rPr>
                <w:rFonts w:cs="Arial"/>
                <w:color w:val="auto"/>
                <w:sz w:val="20"/>
                <w:szCs w:val="20"/>
              </w:rPr>
              <w:t xml:space="preserve">The difference between disadvantaged and </w:t>
            </w:r>
            <w:r w:rsidRPr="0039453A">
              <w:rPr>
                <w:rFonts w:cs="Arial"/>
                <w:color w:val="auto"/>
                <w:sz w:val="20"/>
                <w:szCs w:val="20"/>
              </w:rPr>
              <w:t>non-disadvantaged</w:t>
            </w:r>
            <w:r w:rsidR="0039453A" w:rsidRPr="0039453A">
              <w:rPr>
                <w:rFonts w:cs="Arial"/>
                <w:color w:val="auto"/>
                <w:sz w:val="20"/>
                <w:szCs w:val="20"/>
              </w:rPr>
              <w:t xml:space="preserve"> pupils being diminished. </w:t>
            </w:r>
          </w:p>
          <w:p w14:paraId="3B787A42" w14:textId="3F5DEFC5" w:rsidR="00DD0380" w:rsidRPr="0039453A" w:rsidRDefault="00483D37" w:rsidP="00DD0380">
            <w:pPr>
              <w:pStyle w:val="ListParagraph"/>
              <w:numPr>
                <w:ilvl w:val="0"/>
                <w:numId w:val="22"/>
              </w:numPr>
              <w:suppressAutoHyphens w:val="0"/>
              <w:autoSpaceDN/>
              <w:spacing w:before="60" w:after="120" w:line="240" w:lineRule="auto"/>
              <w:ind w:left="414" w:right="57" w:hanging="357"/>
              <w:contextualSpacing w:val="0"/>
              <w:rPr>
                <w:rFonts w:cs="Arial"/>
                <w:color w:val="auto"/>
                <w:sz w:val="20"/>
                <w:szCs w:val="20"/>
              </w:rPr>
            </w:pPr>
            <w:r w:rsidRPr="0039453A">
              <w:rPr>
                <w:rFonts w:cs="Arial"/>
                <w:color w:val="auto"/>
                <w:sz w:val="20"/>
                <w:szCs w:val="20"/>
              </w:rPr>
              <w:t>The</w:t>
            </w:r>
            <w:r w:rsidR="00DD0380" w:rsidRPr="0039453A">
              <w:rPr>
                <w:rFonts w:cs="Arial"/>
                <w:color w:val="auto"/>
                <w:sz w:val="20"/>
                <w:szCs w:val="20"/>
              </w:rPr>
              <w:t xml:space="preserve"> percentage of all pupils who are persistently late being reduced and the difference between disadvantaged and </w:t>
            </w:r>
            <w:r w:rsidRPr="0039453A">
              <w:rPr>
                <w:rFonts w:cs="Arial"/>
                <w:color w:val="auto"/>
                <w:sz w:val="20"/>
                <w:szCs w:val="20"/>
              </w:rPr>
              <w:t>non-disadvantaged</w:t>
            </w:r>
            <w:r w:rsidR="00DD0380" w:rsidRPr="0039453A">
              <w:rPr>
                <w:rFonts w:cs="Arial"/>
                <w:color w:val="auto"/>
                <w:sz w:val="20"/>
                <w:szCs w:val="20"/>
              </w:rPr>
              <w:t xml:space="preserve"> pupils being reduced. </w:t>
            </w:r>
          </w:p>
        </w:tc>
      </w:tr>
    </w:tbl>
    <w:p w14:paraId="7C3D958F" w14:textId="77777777" w:rsidR="00DD0380" w:rsidRPr="0039453A" w:rsidRDefault="00DD0380" w:rsidP="00DD0380">
      <w:pPr>
        <w:suppressAutoHyphens w:val="0"/>
        <w:spacing w:after="0" w:line="240" w:lineRule="auto"/>
        <w:rPr>
          <w:b/>
          <w:color w:val="104F75"/>
          <w:sz w:val="20"/>
          <w:szCs w:val="20"/>
        </w:rPr>
      </w:pPr>
      <w:r w:rsidRPr="0039453A">
        <w:rPr>
          <w:sz w:val="20"/>
          <w:szCs w:val="20"/>
        </w:rPr>
        <w:br w:type="page"/>
      </w:r>
    </w:p>
    <w:p w14:paraId="2A7D5512" w14:textId="2817F7F6" w:rsidR="00E66558" w:rsidRPr="00F2570A" w:rsidRDefault="009D71E8" w:rsidP="00F2570A">
      <w:pPr>
        <w:suppressAutoHyphens w:val="0"/>
        <w:spacing w:after="0" w:line="240" w:lineRule="auto"/>
        <w:rPr>
          <w:b/>
          <w:color w:val="104F75"/>
          <w:sz w:val="32"/>
          <w:szCs w:val="32"/>
        </w:rPr>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16F19375" w:rsidR="00E66558" w:rsidRDefault="009D71E8">
      <w:r>
        <w:t xml:space="preserve">Budgeted cost: </w:t>
      </w:r>
      <w:r w:rsidR="353D0B9F">
        <w:t>TBC</w:t>
      </w:r>
    </w:p>
    <w:tbl>
      <w:tblPr>
        <w:tblW w:w="5000" w:type="pct"/>
        <w:tblCellMar>
          <w:left w:w="10" w:type="dxa"/>
          <w:right w:w="10" w:type="dxa"/>
        </w:tblCellMar>
        <w:tblLook w:val="04A0" w:firstRow="1" w:lastRow="0" w:firstColumn="1" w:lastColumn="0" w:noHBand="0" w:noVBand="1"/>
      </w:tblPr>
      <w:tblGrid>
        <w:gridCol w:w="2960"/>
        <w:gridCol w:w="4698"/>
        <w:gridCol w:w="2798"/>
      </w:tblGrid>
      <w:tr w:rsidR="00E66558" w14:paraId="2A7D5519" w14:textId="77777777" w:rsidTr="29901215">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8C5528" w14:paraId="2A7D551D" w14:textId="77777777" w:rsidTr="29901215">
        <w:tc>
          <w:tcPr>
            <w:tcW w:w="2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2A7D551A" w14:textId="76E09629" w:rsidR="008C5528" w:rsidRPr="00B650E6" w:rsidRDefault="008C5528" w:rsidP="008C5528">
            <w:pPr>
              <w:pStyle w:val="TableRow"/>
              <w:rPr>
                <w:rFonts w:ascii="Calibri" w:hAnsi="Calibri" w:cs="Calibri"/>
                <w:sz w:val="18"/>
                <w:szCs w:val="18"/>
              </w:rPr>
            </w:pPr>
            <w:r w:rsidRPr="29901215">
              <w:rPr>
                <w:rFonts w:ascii="Calibri" w:hAnsi="Calibri" w:cs="Calibri"/>
                <w:sz w:val="18"/>
                <w:szCs w:val="18"/>
              </w:rPr>
              <w:t>Ensure all relevant staff receive ongoing training and support</w:t>
            </w:r>
            <w:r w:rsidR="11236241" w:rsidRPr="29901215">
              <w:rPr>
                <w:rFonts w:ascii="Calibri" w:hAnsi="Calibri" w:cs="Calibri"/>
                <w:sz w:val="18"/>
                <w:szCs w:val="18"/>
              </w:rPr>
              <w:t xml:space="preserve"> (this includes a </w:t>
            </w:r>
            <w:proofErr w:type="gramStart"/>
            <w:r w:rsidR="11236241" w:rsidRPr="29901215">
              <w:rPr>
                <w:rFonts w:ascii="Calibri" w:hAnsi="Calibri" w:cs="Calibri"/>
                <w:sz w:val="18"/>
                <w:szCs w:val="18"/>
              </w:rPr>
              <w:t>fast track</w:t>
            </w:r>
            <w:proofErr w:type="gramEnd"/>
            <w:r w:rsidR="11236241" w:rsidRPr="29901215">
              <w:rPr>
                <w:rFonts w:ascii="Calibri" w:hAnsi="Calibri" w:cs="Calibri"/>
                <w:sz w:val="18"/>
                <w:szCs w:val="18"/>
              </w:rPr>
              <w:t xml:space="preserve"> tutoring team</w:t>
            </w:r>
            <w:r w:rsidR="00BB7DA1">
              <w:rPr>
                <w:rFonts w:ascii="Calibri" w:hAnsi="Calibri" w:cs="Calibri"/>
                <w:sz w:val="18"/>
                <w:szCs w:val="18"/>
              </w:rPr>
              <w:t xml:space="preserve"> &amp; trained staff in precision teaching</w:t>
            </w:r>
            <w:r w:rsidR="11236241" w:rsidRPr="29901215">
              <w:rPr>
                <w:rFonts w:ascii="Calibri" w:hAnsi="Calibri" w:cs="Calibri"/>
                <w:sz w:val="18"/>
                <w:szCs w:val="18"/>
              </w:rPr>
              <w:t>)</w:t>
            </w:r>
            <w:r w:rsidRPr="29901215">
              <w:rPr>
                <w:rFonts w:ascii="Calibri" w:hAnsi="Calibri" w:cs="Calibri"/>
                <w:sz w:val="18"/>
                <w:szCs w:val="18"/>
              </w:rPr>
              <w:t xml:space="preserve"> to deliver RWI and reading </w:t>
            </w:r>
            <w:r w:rsidR="00ED7D62" w:rsidRPr="29901215">
              <w:rPr>
                <w:rFonts w:ascii="Calibri" w:hAnsi="Calibri" w:cs="Calibri"/>
                <w:sz w:val="18"/>
                <w:szCs w:val="18"/>
              </w:rPr>
              <w:t xml:space="preserve">comprehension </w:t>
            </w:r>
            <w:r w:rsidRPr="29901215">
              <w:rPr>
                <w:rFonts w:ascii="Calibri" w:hAnsi="Calibri" w:cs="Calibri"/>
                <w:sz w:val="18"/>
                <w:szCs w:val="18"/>
              </w:rPr>
              <w:t>effectively so that teaching is never less than good and differences continue to diminish.</w:t>
            </w:r>
            <w:r w:rsidR="145DCA00" w:rsidRPr="29901215">
              <w:rPr>
                <w:rFonts w:ascii="Calibri" w:hAnsi="Calibri" w:cs="Calibri"/>
                <w:sz w:val="18"/>
                <w:szCs w:val="18"/>
              </w:rPr>
              <w:t xml:space="preserve">  </w:t>
            </w:r>
          </w:p>
        </w:tc>
        <w:tc>
          <w:tcPr>
            <w:tcW w:w="4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0A8CF7" w14:textId="03A057D9" w:rsidR="008C5528" w:rsidRPr="00B650E6" w:rsidRDefault="00ED7D62" w:rsidP="00ED7D62">
            <w:pPr>
              <w:pStyle w:val="TableRowCentered"/>
              <w:jc w:val="left"/>
              <w:rPr>
                <w:rFonts w:ascii="Calibri" w:hAnsi="Calibri" w:cs="Calibri"/>
                <w:color w:val="263238"/>
                <w:sz w:val="18"/>
                <w:szCs w:val="18"/>
                <w:shd w:val="clear" w:color="auto" w:fill="FFFFFF"/>
              </w:rPr>
            </w:pPr>
            <w:r w:rsidRPr="00B650E6">
              <w:rPr>
                <w:rFonts w:ascii="Calibri" w:hAnsi="Calibri" w:cs="Calibri"/>
                <w:color w:val="263238"/>
                <w:sz w:val="18"/>
                <w:szCs w:val="18"/>
                <w:shd w:val="clear" w:color="auto" w:fill="FFFFFF"/>
              </w:rPr>
              <w:t>The EEF’s Teaching and Learning Toolkit highlights that approaches supporting reading comprehension can, on average, deliver an additional 6 </w:t>
            </w:r>
            <w:proofErr w:type="gramStart"/>
            <w:r w:rsidRPr="00B650E6">
              <w:rPr>
                <w:rFonts w:ascii="Calibri" w:hAnsi="Calibri" w:cs="Calibri"/>
                <w:color w:val="263238"/>
                <w:sz w:val="18"/>
                <w:szCs w:val="18"/>
                <w:shd w:val="clear" w:color="auto" w:fill="FFFFFF"/>
              </w:rPr>
              <w:t>months</w:t>
            </w:r>
            <w:proofErr w:type="gramEnd"/>
            <w:r w:rsidRPr="00B650E6">
              <w:rPr>
                <w:rFonts w:ascii="Calibri" w:hAnsi="Calibri" w:cs="Calibri"/>
                <w:color w:val="263238"/>
                <w:sz w:val="18"/>
                <w:szCs w:val="18"/>
                <w:shd w:val="clear" w:color="auto" w:fill="FFFFFF"/>
              </w:rPr>
              <w:t xml:space="preserve"> progress. </w:t>
            </w:r>
          </w:p>
          <w:p w14:paraId="3956E2F8" w14:textId="1CFE58A9" w:rsidR="00A23AE5" w:rsidRPr="00B650E6" w:rsidRDefault="00A23AE5" w:rsidP="00ED7D62">
            <w:pPr>
              <w:pStyle w:val="TableRowCentered"/>
              <w:jc w:val="left"/>
              <w:rPr>
                <w:rFonts w:ascii="Calibri" w:hAnsi="Calibri" w:cs="Calibri"/>
                <w:color w:val="263238"/>
                <w:sz w:val="18"/>
                <w:szCs w:val="18"/>
                <w:shd w:val="clear" w:color="auto" w:fill="FFFFFF"/>
              </w:rPr>
            </w:pPr>
          </w:p>
          <w:p w14:paraId="23AE6BD5" w14:textId="77777777" w:rsidR="00A23AE5" w:rsidRPr="00B650E6" w:rsidRDefault="0039583C" w:rsidP="00ED7D62">
            <w:pPr>
              <w:pStyle w:val="TableRowCentered"/>
              <w:jc w:val="left"/>
              <w:rPr>
                <w:rFonts w:ascii="Calibri" w:hAnsi="Calibri" w:cs="Calibri"/>
                <w:color w:val="263238"/>
                <w:sz w:val="18"/>
                <w:szCs w:val="18"/>
                <w:shd w:val="clear" w:color="auto" w:fill="FFFFFF"/>
              </w:rPr>
            </w:pPr>
            <w:hyperlink r:id="rId10" w:history="1">
              <w:r w:rsidR="00A23AE5" w:rsidRPr="00B650E6">
                <w:rPr>
                  <w:rStyle w:val="Hyperlink"/>
                  <w:rFonts w:ascii="Calibri" w:hAnsi="Calibri" w:cs="Calibri"/>
                  <w:sz w:val="18"/>
                  <w:szCs w:val="18"/>
                  <w:shd w:val="clear" w:color="auto" w:fill="FFFFFF"/>
                </w:rPr>
                <w:t>https://educationendowmentfoundation.org.uk/education-evidence/guidance-reports/literacy-ks-1</w:t>
              </w:r>
            </w:hyperlink>
            <w:r w:rsidR="00A23AE5" w:rsidRPr="00B650E6">
              <w:rPr>
                <w:rFonts w:ascii="Calibri" w:hAnsi="Calibri" w:cs="Calibri"/>
                <w:color w:val="263238"/>
                <w:sz w:val="18"/>
                <w:szCs w:val="18"/>
                <w:shd w:val="clear" w:color="auto" w:fill="FFFFFF"/>
              </w:rPr>
              <w:t xml:space="preserve"> </w:t>
            </w:r>
          </w:p>
          <w:p w14:paraId="649C0E74" w14:textId="467578F7" w:rsidR="00A23AE5" w:rsidRPr="00B650E6" w:rsidRDefault="00A23AE5" w:rsidP="00ED7D62">
            <w:pPr>
              <w:pStyle w:val="TableRowCentered"/>
              <w:jc w:val="left"/>
              <w:rPr>
                <w:rFonts w:ascii="Calibri" w:hAnsi="Calibri" w:cs="Calibri"/>
                <w:color w:val="263238"/>
                <w:sz w:val="18"/>
                <w:szCs w:val="18"/>
                <w:shd w:val="clear" w:color="auto" w:fill="FFFFFF"/>
              </w:rPr>
            </w:pPr>
            <w:r w:rsidRPr="00B650E6">
              <w:rPr>
                <w:rFonts w:ascii="Calibri" w:hAnsi="Calibri" w:cs="Calibri"/>
                <w:color w:val="263238"/>
                <w:sz w:val="18"/>
                <w:szCs w:val="18"/>
                <w:shd w:val="clear" w:color="auto" w:fill="FFFFFF"/>
              </w:rPr>
              <w:t>Systematic phonics approaches explicitly teach pupils a comprehensive set of letter-sound relationships for reading and sound-letter relationships for spelling.</w:t>
            </w:r>
          </w:p>
          <w:p w14:paraId="4C3F9F86" w14:textId="77777777" w:rsidR="00A23AE5" w:rsidRPr="00B650E6" w:rsidRDefault="00A23AE5" w:rsidP="00ED7D62">
            <w:pPr>
              <w:pStyle w:val="TableRowCentered"/>
              <w:jc w:val="left"/>
              <w:rPr>
                <w:rFonts w:ascii="Calibri" w:hAnsi="Calibri" w:cs="Calibri"/>
                <w:color w:val="263238"/>
                <w:sz w:val="18"/>
                <w:szCs w:val="18"/>
                <w:shd w:val="clear" w:color="auto" w:fill="FFFFFF"/>
              </w:rPr>
            </w:pPr>
          </w:p>
          <w:p w14:paraId="2A7D551B" w14:textId="1A085207" w:rsidR="00A23AE5" w:rsidRPr="00B650E6" w:rsidRDefault="00A23AE5" w:rsidP="00ED7D62">
            <w:pPr>
              <w:pStyle w:val="TableRowCentered"/>
              <w:jc w:val="left"/>
              <w:rPr>
                <w:rFonts w:ascii="Calibri" w:hAnsi="Calibri" w:cs="Calibri"/>
                <w:sz w:val="18"/>
                <w:szCs w:val="18"/>
              </w:rPr>
            </w:pP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26DFC634" w:rsidR="008C5528" w:rsidRDefault="000C6440" w:rsidP="008C5528">
            <w:pPr>
              <w:pStyle w:val="TableRowCentered"/>
              <w:jc w:val="left"/>
              <w:rPr>
                <w:sz w:val="22"/>
              </w:rPr>
            </w:pPr>
            <w:r>
              <w:rPr>
                <w:sz w:val="22"/>
              </w:rPr>
              <w:t>1 &amp; 2</w:t>
            </w:r>
          </w:p>
        </w:tc>
      </w:tr>
      <w:tr w:rsidR="008C5528" w14:paraId="2A7D5521" w14:textId="77777777" w:rsidTr="29901215">
        <w:tc>
          <w:tcPr>
            <w:tcW w:w="2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2A7D551E" w14:textId="1C542C55" w:rsidR="008C5528" w:rsidRPr="00B650E6" w:rsidRDefault="008C5528" w:rsidP="008C5528">
            <w:pPr>
              <w:pStyle w:val="TableRow"/>
              <w:rPr>
                <w:rFonts w:ascii="Calibri" w:hAnsi="Calibri" w:cs="Calibri"/>
                <w:i/>
                <w:sz w:val="18"/>
                <w:szCs w:val="18"/>
              </w:rPr>
            </w:pPr>
            <w:r w:rsidRPr="00B650E6">
              <w:rPr>
                <w:rFonts w:ascii="Calibri" w:hAnsi="Calibri" w:cs="Calibri"/>
                <w:color w:val="000000" w:themeColor="text1"/>
                <w:sz w:val="18"/>
                <w:szCs w:val="18"/>
              </w:rPr>
              <w:t>Ensure all staff further develop metacognitive talk through accountable talking partners: developing peer collaboration, opportunities to reason and talk to enable writing across the curriculum.</w:t>
            </w:r>
          </w:p>
        </w:tc>
        <w:tc>
          <w:tcPr>
            <w:tcW w:w="4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46276E" w14:textId="255A4B55" w:rsidR="008C5528" w:rsidRPr="00B650E6" w:rsidRDefault="00A23AE5" w:rsidP="008C5528">
            <w:pPr>
              <w:pStyle w:val="TableRowCentered"/>
              <w:jc w:val="left"/>
              <w:rPr>
                <w:rFonts w:ascii="Calibri" w:hAnsi="Calibri" w:cs="Calibri"/>
                <w:color w:val="37474F"/>
                <w:sz w:val="18"/>
                <w:szCs w:val="18"/>
                <w:shd w:val="clear" w:color="auto" w:fill="FFFFFF"/>
              </w:rPr>
            </w:pPr>
            <w:r w:rsidRPr="00B650E6">
              <w:rPr>
                <w:rFonts w:ascii="Calibri" w:hAnsi="Calibri" w:cs="Calibri"/>
                <w:color w:val="37474F"/>
                <w:sz w:val="18"/>
                <w:szCs w:val="18"/>
                <w:shd w:val="clear" w:color="auto" w:fill="FFFFFF"/>
              </w:rPr>
              <w:t>Evidence suggests the use of</w:t>
            </w:r>
            <w:r w:rsidR="00483D37" w:rsidRPr="00B650E6">
              <w:rPr>
                <w:rFonts w:ascii="Calibri" w:hAnsi="Calibri" w:cs="Calibri"/>
                <w:color w:val="37474F"/>
                <w:sz w:val="18"/>
                <w:szCs w:val="18"/>
                <w:shd w:val="clear" w:color="auto" w:fill="FFFFFF"/>
              </w:rPr>
              <w:t> ‘metacognitive</w:t>
            </w:r>
            <w:r w:rsidRPr="00B650E6">
              <w:rPr>
                <w:rFonts w:ascii="Calibri" w:hAnsi="Calibri" w:cs="Calibri"/>
                <w:color w:val="37474F"/>
                <w:sz w:val="18"/>
                <w:szCs w:val="18"/>
                <w:shd w:val="clear" w:color="auto" w:fill="FFFFFF"/>
              </w:rPr>
              <w:t xml:space="preserve"> strategies’ – which get pupils to think about their own learning – can be worth the equivalent of an additional +7 months’ progress when used well. </w:t>
            </w:r>
          </w:p>
          <w:p w14:paraId="38A3F02C" w14:textId="0868705C" w:rsidR="008D64B4" w:rsidRPr="00B650E6" w:rsidRDefault="008D64B4" w:rsidP="008C5528">
            <w:pPr>
              <w:pStyle w:val="TableRowCentered"/>
              <w:jc w:val="left"/>
              <w:rPr>
                <w:rFonts w:ascii="Calibri" w:hAnsi="Calibri" w:cs="Calibri"/>
                <w:color w:val="37474F"/>
                <w:sz w:val="18"/>
                <w:szCs w:val="18"/>
                <w:shd w:val="clear" w:color="auto" w:fill="FFFFFF"/>
              </w:rPr>
            </w:pPr>
          </w:p>
          <w:p w14:paraId="29AB3764" w14:textId="0822723C" w:rsidR="008D64B4" w:rsidRPr="00B650E6" w:rsidRDefault="0039583C" w:rsidP="008C5528">
            <w:pPr>
              <w:pStyle w:val="TableRowCentered"/>
              <w:jc w:val="left"/>
              <w:rPr>
                <w:rFonts w:ascii="Calibri" w:hAnsi="Calibri" w:cs="Calibri"/>
                <w:color w:val="37474F"/>
                <w:sz w:val="18"/>
                <w:szCs w:val="18"/>
                <w:shd w:val="clear" w:color="auto" w:fill="FFFFFF"/>
              </w:rPr>
            </w:pPr>
            <w:hyperlink r:id="rId11" w:history="1">
              <w:r w:rsidR="008D64B4" w:rsidRPr="00B650E6">
                <w:rPr>
                  <w:rStyle w:val="Hyperlink"/>
                  <w:rFonts w:ascii="Calibri" w:hAnsi="Calibri" w:cs="Calibri"/>
                  <w:sz w:val="18"/>
                  <w:szCs w:val="18"/>
                  <w:shd w:val="clear" w:color="auto" w:fill="FFFFFF"/>
                </w:rPr>
                <w:t>https://educationendowmentfoundation.org.uk/education-evidence/guidance-reports/metacognition</w:t>
              </w:r>
            </w:hyperlink>
            <w:r w:rsidR="008D64B4" w:rsidRPr="00B650E6">
              <w:rPr>
                <w:rFonts w:ascii="Calibri" w:hAnsi="Calibri" w:cs="Calibri"/>
                <w:color w:val="37474F"/>
                <w:sz w:val="18"/>
                <w:szCs w:val="18"/>
                <w:shd w:val="clear" w:color="auto" w:fill="FFFFFF"/>
              </w:rPr>
              <w:t xml:space="preserve"> </w:t>
            </w:r>
          </w:p>
          <w:p w14:paraId="657A9ACB" w14:textId="77777777" w:rsidR="008D64B4" w:rsidRPr="00B650E6" w:rsidRDefault="008D64B4" w:rsidP="008C5528">
            <w:pPr>
              <w:pStyle w:val="TableRowCentered"/>
              <w:jc w:val="left"/>
              <w:rPr>
                <w:rFonts w:ascii="Calibri" w:hAnsi="Calibri" w:cs="Calibri"/>
                <w:color w:val="37474F"/>
                <w:sz w:val="18"/>
                <w:szCs w:val="18"/>
                <w:shd w:val="clear" w:color="auto" w:fill="FFFFFF"/>
              </w:rPr>
            </w:pPr>
          </w:p>
          <w:p w14:paraId="2A7D551F" w14:textId="192CC47C" w:rsidR="008D64B4" w:rsidRPr="00B650E6" w:rsidRDefault="008D64B4" w:rsidP="008C5528">
            <w:pPr>
              <w:pStyle w:val="TableRowCentered"/>
              <w:jc w:val="left"/>
              <w:rPr>
                <w:rFonts w:ascii="Calibri" w:hAnsi="Calibri" w:cs="Calibri"/>
                <w:sz w:val="18"/>
                <w:szCs w:val="18"/>
              </w:rPr>
            </w:pP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5C7FB5D5" w:rsidR="008C5528" w:rsidRDefault="000C6440" w:rsidP="008C5528">
            <w:pPr>
              <w:pStyle w:val="TableRowCentered"/>
              <w:jc w:val="left"/>
              <w:rPr>
                <w:sz w:val="22"/>
              </w:rPr>
            </w:pPr>
            <w:r>
              <w:rPr>
                <w:sz w:val="22"/>
              </w:rPr>
              <w:t>4</w:t>
            </w:r>
          </w:p>
        </w:tc>
      </w:tr>
      <w:tr w:rsidR="008C5528" w14:paraId="096EBB48" w14:textId="77777777" w:rsidTr="29901215">
        <w:tc>
          <w:tcPr>
            <w:tcW w:w="2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7FC8D896" w14:textId="1F4C023B" w:rsidR="00712F5F" w:rsidRDefault="008D64B4" w:rsidP="008C5528">
            <w:pPr>
              <w:pStyle w:val="TableRow"/>
              <w:rPr>
                <w:rFonts w:ascii="Calibri" w:hAnsi="Calibri" w:cs="Calibri"/>
                <w:color w:val="000000" w:themeColor="text1"/>
                <w:sz w:val="18"/>
                <w:szCs w:val="18"/>
              </w:rPr>
            </w:pPr>
            <w:r w:rsidRPr="00712F5F">
              <w:rPr>
                <w:rFonts w:ascii="Calibri" w:hAnsi="Calibri" w:cs="Calibri"/>
                <w:color w:val="000000" w:themeColor="text1"/>
                <w:sz w:val="18"/>
                <w:szCs w:val="18"/>
              </w:rPr>
              <w:t>Ensure a</w:t>
            </w:r>
            <w:r w:rsidR="000C6440" w:rsidRPr="00712F5F">
              <w:rPr>
                <w:rFonts w:ascii="Calibri" w:hAnsi="Calibri" w:cs="Calibri"/>
                <w:color w:val="000000" w:themeColor="text1"/>
                <w:sz w:val="18"/>
                <w:szCs w:val="18"/>
              </w:rPr>
              <w:t xml:space="preserve">ll staff deliver appropriately timed written and verbal feedback </w:t>
            </w:r>
            <w:r w:rsidR="00483D37" w:rsidRPr="00712F5F">
              <w:rPr>
                <w:rFonts w:ascii="Calibri" w:hAnsi="Calibri" w:cs="Calibri"/>
                <w:color w:val="000000" w:themeColor="text1"/>
                <w:sz w:val="18"/>
                <w:szCs w:val="18"/>
              </w:rPr>
              <w:t>they</w:t>
            </w:r>
            <w:r w:rsidR="000C6440" w:rsidRPr="00712F5F">
              <w:rPr>
                <w:rFonts w:ascii="Calibri" w:hAnsi="Calibri" w:cs="Calibri"/>
                <w:color w:val="000000" w:themeColor="text1"/>
                <w:sz w:val="18"/>
                <w:szCs w:val="18"/>
              </w:rPr>
              <w:t xml:space="preserve"> </w:t>
            </w:r>
            <w:proofErr w:type="gramStart"/>
            <w:r w:rsidR="000C6440" w:rsidRPr="00712F5F">
              <w:rPr>
                <w:rFonts w:ascii="Calibri" w:hAnsi="Calibri" w:cs="Calibri"/>
                <w:color w:val="000000" w:themeColor="text1"/>
                <w:sz w:val="18"/>
                <w:szCs w:val="18"/>
              </w:rPr>
              <w:t>focuses</w:t>
            </w:r>
            <w:proofErr w:type="gramEnd"/>
            <w:r w:rsidR="000C6440" w:rsidRPr="00712F5F">
              <w:rPr>
                <w:rFonts w:ascii="Calibri" w:hAnsi="Calibri" w:cs="Calibri"/>
                <w:color w:val="000000" w:themeColor="text1"/>
                <w:sz w:val="18"/>
                <w:szCs w:val="18"/>
              </w:rPr>
              <w:t xml:space="preserve"> on moving learning forward.</w:t>
            </w:r>
          </w:p>
          <w:p w14:paraId="2361CA2B" w14:textId="59719598" w:rsidR="000B1427" w:rsidRPr="00712F5F" w:rsidRDefault="000B1427" w:rsidP="008C5528">
            <w:pPr>
              <w:pStyle w:val="TableRow"/>
              <w:rPr>
                <w:rFonts w:ascii="Calibri" w:hAnsi="Calibri" w:cs="Calibri"/>
                <w:color w:val="000000" w:themeColor="text1"/>
                <w:sz w:val="18"/>
                <w:szCs w:val="18"/>
              </w:rPr>
            </w:pPr>
            <w:r>
              <w:rPr>
                <w:rFonts w:ascii="Calibri" w:hAnsi="Calibri" w:cs="Calibri"/>
                <w:color w:val="000000" w:themeColor="text1"/>
                <w:sz w:val="18"/>
                <w:szCs w:val="18"/>
              </w:rPr>
              <w:t>A refreshed marking and feedback policy will be created with feedback from</w:t>
            </w:r>
            <w:r w:rsidR="00BB7DA1">
              <w:rPr>
                <w:rFonts w:ascii="Calibri" w:hAnsi="Calibri" w:cs="Calibri"/>
                <w:color w:val="000000" w:themeColor="text1"/>
                <w:sz w:val="18"/>
                <w:szCs w:val="18"/>
              </w:rPr>
              <w:t xml:space="preserve"> staff &amp; pupils. </w:t>
            </w:r>
          </w:p>
          <w:p w14:paraId="34F68E1A" w14:textId="6BF81255" w:rsidR="008C5528" w:rsidRPr="00712F5F" w:rsidRDefault="00712F5F" w:rsidP="29901215">
            <w:pPr>
              <w:tabs>
                <w:tab w:val="left" w:pos="2041"/>
              </w:tabs>
              <w:rPr>
                <w:rFonts w:asciiTheme="minorHAnsi" w:hAnsiTheme="minorHAnsi" w:cstheme="minorBidi"/>
                <w:sz w:val="18"/>
                <w:szCs w:val="18"/>
              </w:rPr>
            </w:pPr>
            <w:r w:rsidRPr="00712F5F">
              <w:rPr>
                <w:sz w:val="18"/>
                <w:szCs w:val="18"/>
              </w:rPr>
              <w:tab/>
            </w:r>
            <w:r w:rsidR="51F3A570" w:rsidRPr="00712F5F">
              <w:rPr>
                <w:sz w:val="18"/>
                <w:szCs w:val="18"/>
              </w:rPr>
              <w:t xml:space="preserve">  </w:t>
            </w:r>
          </w:p>
        </w:tc>
        <w:tc>
          <w:tcPr>
            <w:tcW w:w="4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B19900" w14:textId="77777777" w:rsidR="000C6440" w:rsidRPr="00B650E6" w:rsidRDefault="0039583C" w:rsidP="008C5528">
            <w:pPr>
              <w:pStyle w:val="TableRowCentered"/>
              <w:jc w:val="left"/>
              <w:rPr>
                <w:rFonts w:ascii="Calibri" w:hAnsi="Calibri" w:cs="Calibri"/>
                <w:color w:val="37474F"/>
                <w:sz w:val="18"/>
                <w:szCs w:val="18"/>
                <w:shd w:val="clear" w:color="auto" w:fill="FFFFFF"/>
              </w:rPr>
            </w:pPr>
            <w:hyperlink r:id="rId12" w:history="1">
              <w:r w:rsidR="000C6440" w:rsidRPr="00B650E6">
                <w:rPr>
                  <w:rStyle w:val="Hyperlink"/>
                  <w:rFonts w:ascii="Calibri" w:hAnsi="Calibri" w:cs="Calibri"/>
                  <w:sz w:val="18"/>
                  <w:szCs w:val="18"/>
                  <w:shd w:val="clear" w:color="auto" w:fill="FFFFFF"/>
                </w:rPr>
                <w:t>https://educationendowmentfoundation.org.uk/education-evidence/guidance-reports/feedback</w:t>
              </w:r>
            </w:hyperlink>
            <w:r w:rsidR="000C6440" w:rsidRPr="00B650E6">
              <w:rPr>
                <w:rFonts w:ascii="Calibri" w:hAnsi="Calibri" w:cs="Calibri"/>
                <w:color w:val="37474F"/>
                <w:sz w:val="18"/>
                <w:szCs w:val="18"/>
                <w:shd w:val="clear" w:color="auto" w:fill="FFFFFF"/>
              </w:rPr>
              <w:t xml:space="preserve"> </w:t>
            </w:r>
          </w:p>
          <w:p w14:paraId="48CD03DD" w14:textId="77777777" w:rsidR="008C5528" w:rsidRPr="00B650E6" w:rsidRDefault="00A23AE5" w:rsidP="008C5528">
            <w:pPr>
              <w:pStyle w:val="TableRowCentered"/>
              <w:jc w:val="left"/>
              <w:rPr>
                <w:rFonts w:ascii="Calibri" w:hAnsi="Calibri" w:cs="Calibri"/>
                <w:color w:val="37474F"/>
                <w:sz w:val="18"/>
                <w:szCs w:val="18"/>
                <w:shd w:val="clear" w:color="auto" w:fill="FFFFFF"/>
              </w:rPr>
            </w:pPr>
            <w:r w:rsidRPr="00B650E6">
              <w:rPr>
                <w:rFonts w:ascii="Calibri" w:hAnsi="Calibri" w:cs="Calibri"/>
                <w:color w:val="37474F"/>
                <w:sz w:val="18"/>
                <w:szCs w:val="18"/>
                <w:shd w:val="clear" w:color="auto" w:fill="FFFFFF"/>
              </w:rPr>
              <w:t>All school leaders understand the importance of providing meaningful feedback. Done well, it supports pupil progress, building learning, addressing misunderstandings, and thereby closing the gap between where a pupil is and where the teacher wants them to be.</w:t>
            </w:r>
          </w:p>
          <w:p w14:paraId="4C4E9BBA" w14:textId="77777777" w:rsidR="00B650E6" w:rsidRPr="00B650E6" w:rsidRDefault="00B650E6" w:rsidP="008C5528">
            <w:pPr>
              <w:pStyle w:val="TableRowCentered"/>
              <w:jc w:val="left"/>
              <w:rPr>
                <w:rFonts w:ascii="Calibri" w:hAnsi="Calibri" w:cs="Calibri"/>
                <w:color w:val="37474F"/>
                <w:sz w:val="18"/>
                <w:szCs w:val="18"/>
                <w:shd w:val="clear" w:color="auto" w:fill="FFFFFF"/>
              </w:rPr>
            </w:pPr>
          </w:p>
          <w:p w14:paraId="5729FFF5" w14:textId="79DA9F89" w:rsidR="00B650E6" w:rsidRPr="00B650E6" w:rsidRDefault="00B650E6" w:rsidP="008C5528">
            <w:pPr>
              <w:pStyle w:val="TableRowCentered"/>
              <w:jc w:val="left"/>
              <w:rPr>
                <w:rFonts w:ascii="Calibri" w:hAnsi="Calibri" w:cs="Calibri"/>
                <w:sz w:val="18"/>
                <w:szCs w:val="18"/>
              </w:rPr>
            </w:pPr>
            <w:r w:rsidRPr="00B650E6">
              <w:rPr>
                <w:rFonts w:ascii="Calibri" w:hAnsi="Calibri" w:cs="Calibri"/>
                <w:sz w:val="18"/>
                <w:szCs w:val="18"/>
              </w:rPr>
              <w:t>Teacher feedback is an area of teaching and learning that is a central priority for teachers and is often associated with improving pupil attainment.4</w:t>
            </w: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4D3173" w14:textId="4948CD9F" w:rsidR="008C5528" w:rsidRDefault="000C6440" w:rsidP="008C5528">
            <w:pPr>
              <w:pStyle w:val="TableRowCentered"/>
              <w:jc w:val="left"/>
              <w:rPr>
                <w:sz w:val="22"/>
              </w:rPr>
            </w:pPr>
            <w:r>
              <w:rPr>
                <w:sz w:val="22"/>
              </w:rPr>
              <w:t>4</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3BF70A1D" w:rsidR="00E66558" w:rsidRDefault="009D71E8">
      <w:r>
        <w:t xml:space="preserve">Budgeted cost: £ </w:t>
      </w:r>
      <w:r w:rsidR="439FA8A2">
        <w:t>TBC</w:t>
      </w:r>
    </w:p>
    <w:p w14:paraId="49A98EEB" w14:textId="4B6EDC8D" w:rsidR="0020551A" w:rsidRDefault="0020551A"/>
    <w:p w14:paraId="770FEE2D" w14:textId="77777777" w:rsidR="0020551A" w:rsidRDefault="0020551A"/>
    <w:tbl>
      <w:tblPr>
        <w:tblW w:w="5000" w:type="pct"/>
        <w:tblCellMar>
          <w:left w:w="10" w:type="dxa"/>
          <w:right w:w="10" w:type="dxa"/>
        </w:tblCellMar>
        <w:tblLook w:val="04A0" w:firstRow="1" w:lastRow="0" w:firstColumn="1" w:lastColumn="0" w:noHBand="0" w:noVBand="1"/>
      </w:tblPr>
      <w:tblGrid>
        <w:gridCol w:w="2507"/>
        <w:gridCol w:w="5687"/>
        <w:gridCol w:w="2262"/>
      </w:tblGrid>
      <w:tr w:rsidR="00E66558" w14:paraId="2A7D5528" w14:textId="77777777" w:rsidTr="4F80CB3B">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5" w14:textId="77777777" w:rsidR="00E66558" w:rsidRDefault="009D71E8">
            <w:pPr>
              <w:pStyle w:val="TableHeader"/>
              <w:jc w:val="left"/>
            </w:pPr>
            <w:r>
              <w:lastRenderedPageBreak/>
              <w:t>Activity</w:t>
            </w:r>
          </w:p>
        </w:tc>
        <w:tc>
          <w:tcPr>
            <w:tcW w:w="56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8C5528" w14:paraId="2A7D552C" w14:textId="77777777" w:rsidTr="4F80CB3B">
        <w:tc>
          <w:tcPr>
            <w:tcW w:w="25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2A7D5529" w14:textId="7EA3756E" w:rsidR="008C5528" w:rsidRPr="00483D37" w:rsidRDefault="0B40FDFF" w:rsidP="29901215">
            <w:pPr>
              <w:pStyle w:val="TableRow"/>
              <w:rPr>
                <w:rFonts w:asciiTheme="minorHAnsi" w:hAnsiTheme="minorHAnsi" w:cstheme="minorBidi"/>
                <w:sz w:val="18"/>
                <w:szCs w:val="18"/>
              </w:rPr>
            </w:pPr>
            <w:r w:rsidRPr="29901215">
              <w:rPr>
                <w:rFonts w:asciiTheme="minorHAnsi" w:hAnsiTheme="minorHAnsi" w:cstheme="minorBidi"/>
                <w:sz w:val="18"/>
                <w:szCs w:val="18"/>
              </w:rPr>
              <w:t xml:space="preserve">Develop a fast track tutoring team to prioritise the </w:t>
            </w:r>
            <w:proofErr w:type="gramStart"/>
            <w:r w:rsidRPr="29901215">
              <w:rPr>
                <w:rFonts w:asciiTheme="minorHAnsi" w:hAnsiTheme="minorHAnsi" w:cstheme="minorBidi"/>
                <w:sz w:val="18"/>
                <w:szCs w:val="18"/>
              </w:rPr>
              <w:t>lowest  twenty</w:t>
            </w:r>
            <w:proofErr w:type="gramEnd"/>
            <w:r w:rsidRPr="29901215">
              <w:rPr>
                <w:rFonts w:asciiTheme="minorHAnsi" w:hAnsiTheme="minorHAnsi" w:cstheme="minorBidi"/>
                <w:sz w:val="18"/>
                <w:szCs w:val="18"/>
              </w:rPr>
              <w:t xml:space="preserve"> percent.</w:t>
            </w:r>
          </w:p>
        </w:tc>
        <w:tc>
          <w:tcPr>
            <w:tcW w:w="56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F972A2" w14:textId="77777777" w:rsidR="008C5528" w:rsidRDefault="00ED7D62" w:rsidP="00ED7D62">
            <w:pPr>
              <w:pStyle w:val="TableRowCentered"/>
              <w:jc w:val="left"/>
              <w:rPr>
                <w:rFonts w:asciiTheme="minorHAnsi" w:hAnsiTheme="minorHAnsi" w:cstheme="minorHAnsi"/>
                <w:color w:val="263238"/>
                <w:sz w:val="18"/>
                <w:szCs w:val="18"/>
                <w:shd w:val="clear" w:color="auto" w:fill="FFFFFF"/>
              </w:rPr>
            </w:pPr>
            <w:r w:rsidRPr="00483D37">
              <w:rPr>
                <w:rFonts w:asciiTheme="minorHAnsi" w:hAnsiTheme="minorHAnsi" w:cstheme="minorHAnsi"/>
                <w:color w:val="263238"/>
                <w:sz w:val="18"/>
                <w:szCs w:val="18"/>
                <w:shd w:val="clear" w:color="auto" w:fill="FFFFFF"/>
              </w:rPr>
              <w:t>The EEF’s Teaching and Learning Toolkit highlights that approaches supporting reading comprehension can, on average, deliver an additional 6 </w:t>
            </w:r>
            <w:proofErr w:type="gramStart"/>
            <w:r w:rsidRPr="00483D37">
              <w:rPr>
                <w:rFonts w:asciiTheme="minorHAnsi" w:hAnsiTheme="minorHAnsi" w:cstheme="minorHAnsi"/>
                <w:color w:val="263238"/>
                <w:sz w:val="18"/>
                <w:szCs w:val="18"/>
                <w:shd w:val="clear" w:color="auto" w:fill="FFFFFF"/>
              </w:rPr>
              <w:t>months</w:t>
            </w:r>
            <w:proofErr w:type="gramEnd"/>
            <w:r w:rsidRPr="00483D37">
              <w:rPr>
                <w:rFonts w:asciiTheme="minorHAnsi" w:hAnsiTheme="minorHAnsi" w:cstheme="minorHAnsi"/>
                <w:color w:val="263238"/>
                <w:sz w:val="18"/>
                <w:szCs w:val="18"/>
                <w:shd w:val="clear" w:color="auto" w:fill="FFFFFF"/>
              </w:rPr>
              <w:t xml:space="preserve"> progress. </w:t>
            </w:r>
          </w:p>
          <w:p w14:paraId="46FCD37D" w14:textId="77777777" w:rsidR="00567CE8" w:rsidRDefault="00567CE8" w:rsidP="00ED7D62">
            <w:pPr>
              <w:pStyle w:val="TableRowCentered"/>
              <w:jc w:val="left"/>
              <w:rPr>
                <w:rFonts w:asciiTheme="minorHAnsi" w:hAnsiTheme="minorHAnsi" w:cstheme="minorHAnsi"/>
                <w:color w:val="263238"/>
                <w:sz w:val="18"/>
                <w:szCs w:val="18"/>
                <w:shd w:val="clear" w:color="auto" w:fill="FFFFFF"/>
              </w:rPr>
            </w:pPr>
          </w:p>
          <w:p w14:paraId="79437A68" w14:textId="2EF765F5" w:rsidR="00567CE8" w:rsidRPr="004946EF" w:rsidRDefault="0039583C" w:rsidP="00ED7D62">
            <w:pPr>
              <w:pStyle w:val="TableRowCentered"/>
              <w:jc w:val="left"/>
              <w:rPr>
                <w:rFonts w:asciiTheme="minorHAnsi" w:hAnsiTheme="minorHAnsi" w:cstheme="minorHAnsi"/>
                <w:sz w:val="18"/>
                <w:szCs w:val="18"/>
              </w:rPr>
            </w:pPr>
            <w:hyperlink r:id="rId13" w:history="1">
              <w:r w:rsidR="00567CE8" w:rsidRPr="004946EF">
                <w:rPr>
                  <w:rStyle w:val="Hyperlink"/>
                  <w:rFonts w:asciiTheme="minorHAnsi" w:hAnsiTheme="minorHAnsi" w:cstheme="minorHAnsi"/>
                  <w:sz w:val="18"/>
                  <w:szCs w:val="18"/>
                </w:rPr>
                <w:t>Phonics | EEF (educationendowmentfoundation.org.uk)</w:t>
              </w:r>
            </w:hyperlink>
            <w:r w:rsidR="00567CE8" w:rsidRPr="004946EF">
              <w:rPr>
                <w:rFonts w:asciiTheme="minorHAnsi" w:hAnsiTheme="minorHAnsi" w:cstheme="minorHAnsi"/>
                <w:sz w:val="18"/>
                <w:szCs w:val="18"/>
              </w:rPr>
              <w:t xml:space="preserve"> </w:t>
            </w:r>
          </w:p>
          <w:p w14:paraId="7273F36C" w14:textId="77777777" w:rsidR="004946EF" w:rsidRPr="004946EF" w:rsidRDefault="004946EF" w:rsidP="00ED7D62">
            <w:pPr>
              <w:pStyle w:val="TableRowCentered"/>
              <w:jc w:val="left"/>
              <w:rPr>
                <w:rFonts w:asciiTheme="minorHAnsi" w:hAnsiTheme="minorHAnsi" w:cstheme="minorHAnsi"/>
                <w:sz w:val="18"/>
                <w:szCs w:val="18"/>
              </w:rPr>
            </w:pPr>
          </w:p>
          <w:p w14:paraId="4EA27013" w14:textId="7FBB20CC" w:rsidR="004946EF" w:rsidRPr="004946EF" w:rsidRDefault="0039583C" w:rsidP="00ED7D62">
            <w:pPr>
              <w:pStyle w:val="TableRowCentered"/>
              <w:jc w:val="left"/>
              <w:rPr>
                <w:rFonts w:asciiTheme="minorHAnsi" w:hAnsiTheme="minorHAnsi" w:cstheme="minorHAnsi"/>
                <w:color w:val="263238"/>
                <w:sz w:val="18"/>
                <w:szCs w:val="18"/>
                <w:shd w:val="clear" w:color="auto" w:fill="FFFFFF"/>
              </w:rPr>
            </w:pPr>
            <w:hyperlink r:id="rId14" w:history="1">
              <w:r w:rsidR="004946EF" w:rsidRPr="004946EF">
                <w:rPr>
                  <w:rStyle w:val="Hyperlink"/>
                  <w:rFonts w:asciiTheme="minorHAnsi" w:hAnsiTheme="minorHAnsi" w:cstheme="minorHAnsi"/>
                  <w:sz w:val="18"/>
                  <w:szCs w:val="18"/>
                </w:rPr>
                <w:t>Reading comprehension strategies | EEF (educationendowmentfoundation.org.uk)</w:t>
              </w:r>
            </w:hyperlink>
          </w:p>
          <w:p w14:paraId="2A7D552A" w14:textId="302623FF" w:rsidR="008D64B4" w:rsidRPr="00483D37" w:rsidRDefault="008D64B4" w:rsidP="004946EF">
            <w:pPr>
              <w:pStyle w:val="TableRowCentered"/>
              <w:ind w:left="0"/>
              <w:jc w:val="left"/>
              <w:rPr>
                <w:rFonts w:asciiTheme="minorHAnsi" w:hAnsiTheme="minorHAnsi" w:cstheme="minorHAnsi"/>
                <w:sz w:val="18"/>
                <w:szCs w:val="18"/>
              </w:rPr>
            </w:pPr>
            <w:r w:rsidRPr="00483D37">
              <w:rPr>
                <w:rFonts w:asciiTheme="minorHAnsi" w:hAnsiTheme="minorHAnsi" w:cstheme="minorHAnsi"/>
                <w:sz w:val="18"/>
                <w:szCs w:val="18"/>
              </w:rPr>
              <w:t xml:space="preserve"> </w:t>
            </w:r>
          </w:p>
        </w:t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B" w14:textId="754CC211" w:rsidR="008C5528" w:rsidRDefault="000C6440" w:rsidP="008C5528">
            <w:pPr>
              <w:pStyle w:val="TableRowCentered"/>
              <w:jc w:val="left"/>
              <w:rPr>
                <w:sz w:val="22"/>
              </w:rPr>
            </w:pPr>
            <w:r>
              <w:rPr>
                <w:sz w:val="22"/>
              </w:rPr>
              <w:t>2</w:t>
            </w:r>
          </w:p>
        </w:tc>
      </w:tr>
      <w:tr w:rsidR="00507F33" w14:paraId="1BC7E34F" w14:textId="77777777" w:rsidTr="4F80CB3B">
        <w:tc>
          <w:tcPr>
            <w:tcW w:w="25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6F454515" w14:textId="1FCE5CEB" w:rsidR="00507F33" w:rsidRPr="29901215" w:rsidRDefault="00507F33" w:rsidP="00507F33">
            <w:pPr>
              <w:pStyle w:val="TableRow"/>
              <w:ind w:left="0"/>
              <w:rPr>
                <w:rFonts w:asciiTheme="minorHAnsi" w:hAnsiTheme="minorHAnsi" w:cstheme="minorBidi"/>
                <w:sz w:val="18"/>
                <w:szCs w:val="18"/>
              </w:rPr>
            </w:pPr>
            <w:r>
              <w:rPr>
                <w:rFonts w:asciiTheme="minorHAnsi" w:hAnsiTheme="minorHAnsi" w:cstheme="minorBidi"/>
                <w:sz w:val="18"/>
                <w:szCs w:val="18"/>
              </w:rPr>
              <w:t xml:space="preserve">Recruit </w:t>
            </w:r>
            <w:r w:rsidR="00C24534">
              <w:rPr>
                <w:rFonts w:asciiTheme="minorHAnsi" w:hAnsiTheme="minorHAnsi" w:cstheme="minorBidi"/>
                <w:sz w:val="18"/>
                <w:szCs w:val="18"/>
              </w:rPr>
              <w:t xml:space="preserve">two apprentices to deliver high quality interventions </w:t>
            </w:r>
            <w:r w:rsidR="009F46CA">
              <w:rPr>
                <w:rFonts w:asciiTheme="minorHAnsi" w:hAnsiTheme="minorHAnsi" w:cstheme="minorBidi"/>
                <w:sz w:val="18"/>
                <w:szCs w:val="18"/>
              </w:rPr>
              <w:t xml:space="preserve">(such as reading fluency &amp; precision teaching) </w:t>
            </w:r>
            <w:r w:rsidR="00C24534">
              <w:rPr>
                <w:rFonts w:asciiTheme="minorHAnsi" w:hAnsiTheme="minorHAnsi" w:cstheme="minorBidi"/>
                <w:sz w:val="18"/>
                <w:szCs w:val="18"/>
              </w:rPr>
              <w:t xml:space="preserve">to prioritise the target 20% of pupils in R, W &amp; M. </w:t>
            </w:r>
            <w:r>
              <w:rPr>
                <w:rFonts w:asciiTheme="minorHAnsi" w:hAnsiTheme="minorHAnsi" w:cstheme="minorBidi"/>
                <w:sz w:val="18"/>
                <w:szCs w:val="18"/>
              </w:rPr>
              <w:t xml:space="preserve"> </w:t>
            </w:r>
          </w:p>
        </w:tc>
        <w:tc>
          <w:tcPr>
            <w:tcW w:w="56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A04837" w14:textId="38665FA8" w:rsidR="001B72DB" w:rsidRDefault="002F4E66" w:rsidP="002F4E66">
            <w:pPr>
              <w:pStyle w:val="TableRowCentered"/>
              <w:ind w:left="0"/>
              <w:jc w:val="left"/>
              <w:rPr>
                <w:rFonts w:asciiTheme="minorHAnsi" w:hAnsiTheme="minorHAnsi" w:cstheme="minorHAnsi"/>
                <w:sz w:val="18"/>
                <w:szCs w:val="18"/>
              </w:rPr>
            </w:pPr>
            <w:r>
              <w:rPr>
                <w:rFonts w:asciiTheme="minorHAnsi" w:hAnsiTheme="minorHAnsi" w:cstheme="minorHAnsi"/>
                <w:color w:val="FFFFFF"/>
                <w:sz w:val="18"/>
                <w:szCs w:val="18"/>
                <w:shd w:val="clear" w:color="auto" w:fill="263238"/>
              </w:rPr>
              <w:t>“</w:t>
            </w:r>
            <w:r>
              <w:rPr>
                <w:rFonts w:asciiTheme="minorHAnsi" w:hAnsiTheme="minorHAnsi" w:cstheme="minorHAnsi"/>
                <w:sz w:val="18"/>
                <w:szCs w:val="18"/>
              </w:rPr>
              <w:t xml:space="preserve">Investing in professional development for teaching assistants to deliver </w:t>
            </w:r>
            <w:r w:rsidR="00C4420D">
              <w:rPr>
                <w:rFonts w:asciiTheme="minorHAnsi" w:hAnsiTheme="minorHAnsi" w:cstheme="minorHAnsi"/>
                <w:sz w:val="18"/>
                <w:szCs w:val="18"/>
              </w:rPr>
              <w:t>structures</w:t>
            </w:r>
            <w:r>
              <w:rPr>
                <w:rFonts w:asciiTheme="minorHAnsi" w:hAnsiTheme="minorHAnsi" w:cstheme="minorHAnsi"/>
                <w:sz w:val="18"/>
                <w:szCs w:val="18"/>
              </w:rPr>
              <w:t xml:space="preserve"> interventions can be a cost-effective approach to improving learner outcomes…”</w:t>
            </w:r>
          </w:p>
          <w:p w14:paraId="4F78279F" w14:textId="093508D3" w:rsidR="00507F33" w:rsidRPr="001B72DB" w:rsidRDefault="0039583C" w:rsidP="00ED7D62">
            <w:pPr>
              <w:pStyle w:val="TableRowCentered"/>
              <w:jc w:val="left"/>
              <w:rPr>
                <w:rFonts w:asciiTheme="minorHAnsi" w:hAnsiTheme="minorHAnsi" w:cstheme="minorHAnsi"/>
                <w:color w:val="263238"/>
                <w:sz w:val="18"/>
                <w:szCs w:val="18"/>
                <w:shd w:val="clear" w:color="auto" w:fill="FFFFFF"/>
              </w:rPr>
            </w:pPr>
            <w:hyperlink r:id="rId15" w:history="1">
              <w:r w:rsidR="001B72DB" w:rsidRPr="001B72DB">
                <w:rPr>
                  <w:rStyle w:val="Hyperlink"/>
                  <w:rFonts w:asciiTheme="minorHAnsi" w:hAnsiTheme="minorHAnsi" w:cstheme="minorHAnsi"/>
                  <w:sz w:val="18"/>
                  <w:szCs w:val="18"/>
                </w:rPr>
                <w:t>Teaching Assistant Interventions | EEF (educationendowmentfoundation.org.uk)</w:t>
              </w:r>
            </w:hyperlink>
            <w:r w:rsidR="001B72DB" w:rsidRPr="001B72DB">
              <w:rPr>
                <w:rFonts w:asciiTheme="minorHAnsi" w:hAnsiTheme="minorHAnsi" w:cstheme="minorHAnsi"/>
                <w:sz w:val="18"/>
                <w:szCs w:val="18"/>
              </w:rPr>
              <w:t xml:space="preserve"> </w:t>
            </w:r>
          </w:p>
        </w:t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94D54E" w14:textId="77777777" w:rsidR="00507F33" w:rsidRDefault="00507F33" w:rsidP="008C5528">
            <w:pPr>
              <w:pStyle w:val="TableRowCentered"/>
              <w:jc w:val="left"/>
              <w:rPr>
                <w:sz w:val="22"/>
              </w:rPr>
            </w:pPr>
          </w:p>
        </w:tc>
      </w:tr>
      <w:tr w:rsidR="008C5528" w14:paraId="2A7D5530" w14:textId="77777777" w:rsidTr="4F80CB3B">
        <w:tc>
          <w:tcPr>
            <w:tcW w:w="25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2A7D552D" w14:textId="5875CE72" w:rsidR="008C5528" w:rsidRPr="00483D37" w:rsidRDefault="008C5528" w:rsidP="29901215">
            <w:pPr>
              <w:pStyle w:val="TableRow"/>
              <w:rPr>
                <w:rFonts w:asciiTheme="minorHAnsi" w:hAnsiTheme="minorHAnsi" w:cstheme="minorBidi"/>
                <w:i/>
                <w:iCs/>
                <w:sz w:val="18"/>
                <w:szCs w:val="18"/>
              </w:rPr>
            </w:pPr>
            <w:r w:rsidRPr="29901215">
              <w:rPr>
                <w:rFonts w:asciiTheme="minorHAnsi" w:hAnsiTheme="minorHAnsi" w:cstheme="minorBidi"/>
                <w:sz w:val="18"/>
                <w:szCs w:val="18"/>
              </w:rPr>
              <w:t xml:space="preserve">Establish small group speech and language (such as </w:t>
            </w:r>
            <w:proofErr w:type="spellStart"/>
            <w:r w:rsidR="5713A198" w:rsidRPr="29901215">
              <w:rPr>
                <w:rFonts w:asciiTheme="minorHAnsi" w:hAnsiTheme="minorHAnsi" w:cstheme="minorBidi"/>
                <w:sz w:val="18"/>
                <w:szCs w:val="18"/>
              </w:rPr>
              <w:t>Wellcom</w:t>
            </w:r>
            <w:proofErr w:type="spellEnd"/>
            <w:r w:rsidR="4476C1F9" w:rsidRPr="29901215">
              <w:rPr>
                <w:rFonts w:asciiTheme="minorHAnsi" w:hAnsiTheme="minorHAnsi" w:cstheme="minorBidi"/>
                <w:sz w:val="18"/>
                <w:szCs w:val="18"/>
              </w:rPr>
              <w:t xml:space="preserve"> </w:t>
            </w:r>
            <w:r w:rsidR="00430578">
              <w:rPr>
                <w:rFonts w:asciiTheme="minorHAnsi" w:hAnsiTheme="minorHAnsi" w:cstheme="minorBidi"/>
                <w:sz w:val="18"/>
                <w:szCs w:val="18"/>
              </w:rPr>
              <w:t xml:space="preserve">&amp; </w:t>
            </w:r>
            <w:r w:rsidR="4476C1F9" w:rsidRPr="29901215">
              <w:rPr>
                <w:rFonts w:asciiTheme="minorHAnsi" w:hAnsiTheme="minorHAnsi" w:cstheme="minorBidi"/>
                <w:sz w:val="18"/>
                <w:szCs w:val="18"/>
              </w:rPr>
              <w:t xml:space="preserve">Talking </w:t>
            </w:r>
            <w:proofErr w:type="gramStart"/>
            <w:r w:rsidR="4476C1F9" w:rsidRPr="29901215">
              <w:rPr>
                <w:rFonts w:asciiTheme="minorHAnsi" w:hAnsiTheme="minorHAnsi" w:cstheme="minorBidi"/>
                <w:sz w:val="18"/>
                <w:szCs w:val="18"/>
              </w:rPr>
              <w:t>Partners</w:t>
            </w:r>
            <w:r w:rsidR="00430578">
              <w:rPr>
                <w:rFonts w:asciiTheme="minorHAnsi" w:hAnsiTheme="minorHAnsi" w:cstheme="minorBidi"/>
                <w:sz w:val="18"/>
                <w:szCs w:val="18"/>
              </w:rPr>
              <w:t xml:space="preserve">) </w:t>
            </w:r>
            <w:r w:rsidRPr="29901215">
              <w:rPr>
                <w:rFonts w:asciiTheme="minorHAnsi" w:hAnsiTheme="minorHAnsi" w:cstheme="minorBidi"/>
                <w:sz w:val="18"/>
                <w:szCs w:val="18"/>
              </w:rPr>
              <w:t xml:space="preserve"> interventions</w:t>
            </w:r>
            <w:proofErr w:type="gramEnd"/>
            <w:r w:rsidRPr="29901215">
              <w:rPr>
                <w:rFonts w:asciiTheme="minorHAnsi" w:hAnsiTheme="minorHAnsi" w:cstheme="minorBidi"/>
                <w:sz w:val="18"/>
                <w:szCs w:val="18"/>
              </w:rPr>
              <w:t xml:space="preserve"> </w:t>
            </w:r>
            <w:r w:rsidR="008D64B4" w:rsidRPr="29901215">
              <w:rPr>
                <w:rFonts w:asciiTheme="minorHAnsi" w:hAnsiTheme="minorHAnsi" w:cstheme="minorBidi"/>
                <w:sz w:val="18"/>
                <w:szCs w:val="18"/>
              </w:rPr>
              <w:t>for children who need to develop their oracy and language skills.</w:t>
            </w:r>
          </w:p>
        </w:tc>
        <w:tc>
          <w:tcPr>
            <w:tcW w:w="56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A8F5EF" w14:textId="77777777" w:rsidR="008C5528" w:rsidRPr="00483D37" w:rsidRDefault="008D64B4" w:rsidP="67A6CBE5">
            <w:pPr>
              <w:pStyle w:val="TableRowCentered"/>
              <w:jc w:val="left"/>
              <w:rPr>
                <w:rFonts w:asciiTheme="minorHAnsi" w:hAnsiTheme="minorHAnsi" w:cstheme="minorBidi"/>
                <w:color w:val="263238"/>
                <w:sz w:val="18"/>
                <w:szCs w:val="18"/>
                <w:shd w:val="clear" w:color="auto" w:fill="FFFFFF"/>
              </w:rPr>
            </w:pPr>
            <w:r w:rsidRPr="67A6CBE5">
              <w:rPr>
                <w:rFonts w:asciiTheme="minorHAnsi" w:hAnsiTheme="minorHAnsi" w:cstheme="minorBidi"/>
                <w:color w:val="263238"/>
                <w:sz w:val="18"/>
                <w:szCs w:val="18"/>
                <w:shd w:val="clear" w:color="auto" w:fill="FFFFFF"/>
              </w:rPr>
              <w:t>The attainment gap between disadvantaged children and their more affluent peers opens early and continues throughout schooling. There is a wealth of evidence to show that early intervention has great potential to narrow the gap, but few nursery and reception year programmes have been rigorously tested for impact. This is why the EEF funded the Nuffield Early Language Intervention.</w:t>
            </w:r>
          </w:p>
          <w:p w14:paraId="0481DFB8" w14:textId="40208530" w:rsidR="66509852" w:rsidRDefault="66509852" w:rsidP="67A6CBE5">
            <w:pPr>
              <w:pStyle w:val="TableRowCentered"/>
              <w:jc w:val="left"/>
              <w:rPr>
                <w:rFonts w:asciiTheme="minorHAnsi" w:eastAsiaTheme="minorEastAsia" w:hAnsiTheme="minorHAnsi" w:cstheme="minorBidi"/>
                <w:color w:val="0D0D0D" w:themeColor="text1" w:themeTint="F2"/>
                <w:sz w:val="16"/>
                <w:szCs w:val="16"/>
              </w:rPr>
            </w:pPr>
            <w:r w:rsidRPr="67A6CBE5">
              <w:rPr>
                <w:rFonts w:asciiTheme="minorHAnsi" w:eastAsiaTheme="minorEastAsia" w:hAnsiTheme="minorHAnsi" w:cstheme="minorBidi"/>
                <w:color w:val="263238"/>
                <w:sz w:val="16"/>
                <w:szCs w:val="16"/>
              </w:rPr>
              <w:t>Communication and language approaches emphasise the importance of spoken language and verbal interaction for young children. They are based on the idea that children’s language development benefits from approaches that explicitly support communication through talking, verbal expression, modelling language and reasoning.</w:t>
            </w:r>
          </w:p>
          <w:p w14:paraId="22CF2AF3" w14:textId="2A9A5F38" w:rsidR="1C55B347" w:rsidRDefault="0039583C" w:rsidP="67A6CBE5">
            <w:pPr>
              <w:pStyle w:val="TableRowCentered"/>
              <w:jc w:val="left"/>
              <w:rPr>
                <w:rFonts w:asciiTheme="minorHAnsi" w:eastAsiaTheme="minorEastAsia" w:hAnsiTheme="minorHAnsi" w:cstheme="minorBidi"/>
                <w:color w:val="0D0D0D" w:themeColor="text1" w:themeTint="F2"/>
                <w:sz w:val="18"/>
                <w:szCs w:val="18"/>
              </w:rPr>
            </w:pPr>
            <w:hyperlink r:id="rId16">
              <w:r w:rsidR="1C55B347" w:rsidRPr="67A6CBE5">
                <w:rPr>
                  <w:rStyle w:val="Hyperlink"/>
                  <w:rFonts w:asciiTheme="minorHAnsi" w:eastAsiaTheme="minorEastAsia" w:hAnsiTheme="minorHAnsi" w:cstheme="minorBidi"/>
                  <w:sz w:val="18"/>
                  <w:szCs w:val="18"/>
                </w:rPr>
                <w:t>https://educationendowmentfoundation.org.uk/education-evidence/early-years-toolkit/communication-and-language-approaches</w:t>
              </w:r>
            </w:hyperlink>
            <w:r w:rsidR="1C55B347" w:rsidRPr="67A6CBE5">
              <w:rPr>
                <w:rFonts w:asciiTheme="minorHAnsi" w:eastAsiaTheme="minorEastAsia" w:hAnsiTheme="minorHAnsi" w:cstheme="minorBidi"/>
                <w:color w:val="0D0D0D" w:themeColor="text1" w:themeTint="F2"/>
                <w:sz w:val="18"/>
                <w:szCs w:val="18"/>
              </w:rPr>
              <w:t xml:space="preserve"> </w:t>
            </w:r>
          </w:p>
          <w:p w14:paraId="7E063C33" w14:textId="77777777" w:rsidR="008D64B4" w:rsidRPr="00483D37" w:rsidRDefault="008D64B4" w:rsidP="67A6CBE5">
            <w:pPr>
              <w:pStyle w:val="TableRowCentered"/>
              <w:jc w:val="left"/>
              <w:rPr>
                <w:rFonts w:asciiTheme="minorHAnsi" w:eastAsiaTheme="minorEastAsia" w:hAnsiTheme="minorHAnsi" w:cstheme="minorBidi"/>
                <w:color w:val="263238"/>
                <w:sz w:val="16"/>
                <w:szCs w:val="16"/>
                <w:shd w:val="clear" w:color="auto" w:fill="FFFFFF"/>
              </w:rPr>
            </w:pPr>
          </w:p>
          <w:p w14:paraId="2A7D552E" w14:textId="6EC810B2" w:rsidR="008D64B4" w:rsidRPr="00483D37" w:rsidRDefault="0039583C" w:rsidP="008C5528">
            <w:pPr>
              <w:pStyle w:val="TableRowCentered"/>
              <w:jc w:val="left"/>
              <w:rPr>
                <w:rFonts w:asciiTheme="minorHAnsi" w:hAnsiTheme="minorHAnsi" w:cstheme="minorHAnsi"/>
                <w:sz w:val="18"/>
                <w:szCs w:val="18"/>
              </w:rPr>
            </w:pPr>
            <w:hyperlink r:id="rId17" w:history="1">
              <w:r w:rsidR="008D64B4" w:rsidRPr="00483D37">
                <w:rPr>
                  <w:rStyle w:val="Hyperlink"/>
                  <w:rFonts w:asciiTheme="minorHAnsi" w:hAnsiTheme="minorHAnsi" w:cstheme="minorHAnsi"/>
                  <w:sz w:val="18"/>
                  <w:szCs w:val="18"/>
                </w:rPr>
                <w:t>https://educationendowmentfoundation.org.uk/projects-and-evaluation/projects/nuffield-early-language-intervention</w:t>
              </w:r>
            </w:hyperlink>
            <w:r w:rsidR="008D64B4" w:rsidRPr="00483D37">
              <w:rPr>
                <w:rFonts w:asciiTheme="minorHAnsi" w:hAnsiTheme="minorHAnsi" w:cstheme="minorHAnsi"/>
                <w:sz w:val="18"/>
                <w:szCs w:val="18"/>
              </w:rPr>
              <w:t xml:space="preserve"> </w:t>
            </w:r>
          </w:p>
        </w:t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820085" w14:textId="77777777" w:rsidR="008C5528" w:rsidRDefault="008D64B4" w:rsidP="008C5528">
            <w:pPr>
              <w:pStyle w:val="TableRowCentered"/>
              <w:jc w:val="left"/>
              <w:rPr>
                <w:sz w:val="22"/>
              </w:rPr>
            </w:pPr>
            <w:r>
              <w:rPr>
                <w:sz w:val="22"/>
              </w:rPr>
              <w:t>1</w:t>
            </w:r>
          </w:p>
          <w:p w14:paraId="6ED96192" w14:textId="77777777" w:rsidR="0039453A" w:rsidRDefault="0039453A" w:rsidP="008C5528">
            <w:pPr>
              <w:pStyle w:val="TableRowCentered"/>
              <w:jc w:val="left"/>
              <w:rPr>
                <w:sz w:val="22"/>
              </w:rPr>
            </w:pPr>
          </w:p>
          <w:p w14:paraId="79271C9E" w14:textId="77777777" w:rsidR="0039453A" w:rsidRDefault="0039453A" w:rsidP="008C5528">
            <w:pPr>
              <w:pStyle w:val="TableRowCentered"/>
              <w:jc w:val="left"/>
              <w:rPr>
                <w:sz w:val="22"/>
              </w:rPr>
            </w:pPr>
          </w:p>
          <w:p w14:paraId="5F25C591" w14:textId="77777777" w:rsidR="0039453A" w:rsidRDefault="0039453A" w:rsidP="008C5528">
            <w:pPr>
              <w:pStyle w:val="TableRowCentered"/>
              <w:jc w:val="left"/>
              <w:rPr>
                <w:sz w:val="22"/>
              </w:rPr>
            </w:pPr>
          </w:p>
          <w:p w14:paraId="3FD9054C" w14:textId="77777777" w:rsidR="0039453A" w:rsidRDefault="0039453A" w:rsidP="008C5528">
            <w:pPr>
              <w:pStyle w:val="TableRowCentered"/>
              <w:jc w:val="left"/>
              <w:rPr>
                <w:sz w:val="22"/>
              </w:rPr>
            </w:pPr>
          </w:p>
          <w:p w14:paraId="2A7D552F" w14:textId="4C7501F6" w:rsidR="0039453A" w:rsidRDefault="0039453A" w:rsidP="008C5528">
            <w:pPr>
              <w:pStyle w:val="TableRowCentered"/>
              <w:jc w:val="left"/>
              <w:rPr>
                <w:sz w:val="22"/>
              </w:rPr>
            </w:pPr>
          </w:p>
        </w:tc>
      </w:tr>
      <w:tr w:rsidR="0020551A" w14:paraId="29EDE509" w14:textId="77777777" w:rsidTr="4F80CB3B">
        <w:tc>
          <w:tcPr>
            <w:tcW w:w="25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4E52742C" w14:textId="4E037224" w:rsidR="0020551A" w:rsidRPr="00483D37" w:rsidRDefault="0020551A" w:rsidP="008C5528">
            <w:pPr>
              <w:pStyle w:val="TableRow"/>
              <w:rPr>
                <w:rFonts w:asciiTheme="minorHAnsi" w:hAnsiTheme="minorHAnsi" w:cstheme="minorHAnsi"/>
                <w:sz w:val="18"/>
                <w:szCs w:val="18"/>
              </w:rPr>
            </w:pPr>
            <w:r w:rsidRPr="00483D37">
              <w:rPr>
                <w:rFonts w:asciiTheme="minorHAnsi" w:hAnsiTheme="minorHAnsi" w:cstheme="minorHAnsi"/>
                <w:iCs/>
                <w:color w:val="auto"/>
                <w:sz w:val="18"/>
                <w:szCs w:val="18"/>
                <w:lang w:val="en-US"/>
              </w:rPr>
              <w:t>Engaging</w:t>
            </w:r>
            <w:r w:rsidR="00483D37">
              <w:rPr>
                <w:rFonts w:asciiTheme="minorHAnsi" w:hAnsiTheme="minorHAnsi" w:cstheme="minorHAnsi"/>
                <w:iCs/>
                <w:color w:val="auto"/>
                <w:sz w:val="18"/>
                <w:szCs w:val="18"/>
                <w:lang w:val="en-US"/>
              </w:rPr>
              <w:t xml:space="preserve"> with the National Tutoring </w:t>
            </w:r>
            <w:proofErr w:type="spellStart"/>
            <w:r w:rsidR="00483D37">
              <w:rPr>
                <w:rFonts w:asciiTheme="minorHAnsi" w:hAnsiTheme="minorHAnsi" w:cstheme="minorHAnsi"/>
                <w:iCs/>
                <w:color w:val="auto"/>
                <w:sz w:val="18"/>
                <w:szCs w:val="18"/>
                <w:lang w:val="en-US"/>
              </w:rPr>
              <w:t>Pro</w:t>
            </w:r>
            <w:r w:rsidRPr="00483D37">
              <w:rPr>
                <w:rFonts w:asciiTheme="minorHAnsi" w:hAnsiTheme="minorHAnsi" w:cstheme="minorHAnsi"/>
                <w:iCs/>
                <w:color w:val="auto"/>
                <w:sz w:val="18"/>
                <w:szCs w:val="18"/>
                <w:lang w:val="en-US"/>
              </w:rPr>
              <w:t>gramme</w:t>
            </w:r>
            <w:proofErr w:type="spellEnd"/>
            <w:r w:rsidRPr="00483D37">
              <w:rPr>
                <w:rFonts w:asciiTheme="minorHAnsi" w:hAnsiTheme="minorHAnsi" w:cstheme="minorHAnsi"/>
                <w:iCs/>
                <w:color w:val="auto"/>
                <w:sz w:val="18"/>
                <w:szCs w:val="18"/>
                <w:lang w:val="en-US"/>
              </w:rPr>
              <w:t xml:space="preserve"> to provide a blend of tuition, mentoring and school-led tutoring for pupils whose education has been most impacted by the pandemic. A significant proportion of the pupils who receive tutoring will be disadvantaged, including those who are high attainers.</w:t>
            </w:r>
          </w:p>
        </w:tc>
        <w:tc>
          <w:tcPr>
            <w:tcW w:w="56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9EF9EC" w14:textId="77777777" w:rsidR="00483D37" w:rsidRPr="00483D37" w:rsidRDefault="00483D37" w:rsidP="00483D37">
            <w:pPr>
              <w:suppressAutoHyphens w:val="0"/>
              <w:autoSpaceDN/>
              <w:spacing w:before="60" w:after="60" w:line="240" w:lineRule="auto"/>
              <w:ind w:left="57" w:right="57"/>
              <w:rPr>
                <w:rFonts w:asciiTheme="minorHAnsi" w:hAnsiTheme="minorHAnsi" w:cstheme="minorHAnsi"/>
                <w:color w:val="auto"/>
                <w:sz w:val="18"/>
                <w:szCs w:val="18"/>
              </w:rPr>
            </w:pPr>
            <w:r w:rsidRPr="00483D37">
              <w:rPr>
                <w:rFonts w:asciiTheme="minorHAnsi" w:hAnsiTheme="minorHAnsi" w:cstheme="minorHAnsi"/>
                <w:color w:val="auto"/>
                <w:sz w:val="18"/>
                <w:szCs w:val="18"/>
              </w:rPr>
              <w:t>Tuition targeted at specific needs and knowledge gaps can be an effective method to support low attaining pupils or those falling behind, both one-to-one:</w:t>
            </w:r>
          </w:p>
          <w:p w14:paraId="7DE6B33D" w14:textId="77777777" w:rsidR="00483D37" w:rsidRPr="00483D37" w:rsidRDefault="0039583C" w:rsidP="00483D37">
            <w:pPr>
              <w:suppressAutoHyphens w:val="0"/>
              <w:autoSpaceDN/>
              <w:spacing w:before="60" w:after="60" w:line="240" w:lineRule="auto"/>
              <w:ind w:left="57" w:right="57"/>
              <w:rPr>
                <w:rFonts w:asciiTheme="minorHAnsi" w:hAnsiTheme="minorHAnsi" w:cstheme="minorHAnsi"/>
                <w:color w:val="0070C0"/>
                <w:sz w:val="18"/>
                <w:szCs w:val="18"/>
              </w:rPr>
            </w:pPr>
            <w:hyperlink r:id="rId18" w:history="1">
              <w:r w:rsidR="00483D37" w:rsidRPr="00483D37">
                <w:rPr>
                  <w:rFonts w:asciiTheme="minorHAnsi" w:hAnsiTheme="minorHAnsi" w:cstheme="minorHAnsi"/>
                  <w:color w:val="0070C0"/>
                  <w:sz w:val="18"/>
                  <w:szCs w:val="18"/>
                  <w:u w:val="single"/>
                </w:rPr>
                <w:t>One to one tuition | EEF (educationendowmentfoundation.org.uk)</w:t>
              </w:r>
            </w:hyperlink>
          </w:p>
          <w:p w14:paraId="16772991" w14:textId="77777777" w:rsidR="00483D37" w:rsidRPr="00483D37" w:rsidRDefault="00483D37" w:rsidP="00483D37">
            <w:pPr>
              <w:suppressAutoHyphens w:val="0"/>
              <w:autoSpaceDN/>
              <w:spacing w:before="60" w:after="60" w:line="240" w:lineRule="auto"/>
              <w:ind w:left="57" w:right="57"/>
              <w:rPr>
                <w:rFonts w:asciiTheme="minorHAnsi" w:hAnsiTheme="minorHAnsi" w:cstheme="minorHAnsi"/>
                <w:color w:val="auto"/>
                <w:sz w:val="18"/>
                <w:szCs w:val="18"/>
              </w:rPr>
            </w:pPr>
            <w:r w:rsidRPr="00483D37">
              <w:rPr>
                <w:rFonts w:asciiTheme="minorHAnsi" w:hAnsiTheme="minorHAnsi" w:cstheme="minorHAnsi"/>
                <w:color w:val="auto"/>
                <w:sz w:val="18"/>
                <w:szCs w:val="18"/>
              </w:rPr>
              <w:t>And in small groups:</w:t>
            </w:r>
          </w:p>
          <w:p w14:paraId="4C3FA5EF" w14:textId="748263A2" w:rsidR="0020551A" w:rsidRPr="00483D37" w:rsidRDefault="0039583C" w:rsidP="00483D37">
            <w:pPr>
              <w:pStyle w:val="TableRowCentered"/>
              <w:jc w:val="left"/>
              <w:rPr>
                <w:rFonts w:asciiTheme="minorHAnsi" w:hAnsiTheme="minorHAnsi" w:cstheme="minorHAnsi"/>
                <w:color w:val="263238"/>
                <w:sz w:val="18"/>
                <w:szCs w:val="18"/>
                <w:shd w:val="clear" w:color="auto" w:fill="FFFFFF"/>
              </w:rPr>
            </w:pPr>
            <w:hyperlink r:id="rId19" w:history="1">
              <w:r w:rsidR="00483D37" w:rsidRPr="00483D37">
                <w:rPr>
                  <w:rFonts w:asciiTheme="minorHAnsi" w:hAnsiTheme="minorHAnsi" w:cstheme="minorHAnsi"/>
                  <w:color w:val="0070C0"/>
                  <w:sz w:val="18"/>
                  <w:szCs w:val="18"/>
                  <w:u w:val="single"/>
                </w:rPr>
                <w:t>Small group tuition | Toolkit Strand | Education Endowment Foundation | EEF</w:t>
              </w:r>
            </w:hyperlink>
          </w:p>
        </w:t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CD9585" w14:textId="212A34B0" w:rsidR="0020551A" w:rsidRDefault="00483D37" w:rsidP="008C5528">
            <w:pPr>
              <w:pStyle w:val="TableRowCentered"/>
              <w:jc w:val="left"/>
              <w:rPr>
                <w:sz w:val="22"/>
              </w:rPr>
            </w:pPr>
            <w:r>
              <w:rPr>
                <w:sz w:val="22"/>
              </w:rPr>
              <w:t>4</w:t>
            </w:r>
          </w:p>
        </w:tc>
      </w:tr>
    </w:tbl>
    <w:p w14:paraId="6AE24454" w14:textId="6544B6FB" w:rsidR="4F80CB3B" w:rsidRDefault="4F80CB3B" w:rsidP="4F80CB3B">
      <w:pPr>
        <w:spacing w:after="0"/>
        <w:rPr>
          <w:b/>
          <w:bCs/>
          <w:color w:val="104F75"/>
          <w:sz w:val="28"/>
          <w:szCs w:val="28"/>
        </w:rPr>
      </w:pPr>
    </w:p>
    <w:p w14:paraId="15DBA2A1" w14:textId="20A927CD" w:rsidR="4F80CB3B" w:rsidRDefault="4F80CB3B" w:rsidP="4F80CB3B">
      <w:pPr>
        <w:spacing w:after="0"/>
        <w:rPr>
          <w:b/>
          <w:bCs/>
          <w:color w:val="104F75"/>
          <w:sz w:val="28"/>
          <w:szCs w:val="28"/>
        </w:rPr>
      </w:pPr>
    </w:p>
    <w:p w14:paraId="2E74B25E" w14:textId="374D1338" w:rsidR="4F80CB3B" w:rsidRDefault="4F80CB3B" w:rsidP="4F80CB3B">
      <w:pPr>
        <w:spacing w:after="0"/>
        <w:rPr>
          <w:b/>
          <w:bCs/>
          <w:color w:val="104F75"/>
          <w:sz w:val="28"/>
          <w:szCs w:val="28"/>
        </w:rPr>
      </w:pPr>
    </w:p>
    <w:p w14:paraId="5AB8A31B" w14:textId="72F2F84D" w:rsidR="4F80CB3B" w:rsidRDefault="4F80CB3B" w:rsidP="4F80CB3B">
      <w:pPr>
        <w:spacing w:after="0"/>
        <w:rPr>
          <w:b/>
          <w:bCs/>
          <w:color w:val="104F75"/>
          <w:sz w:val="28"/>
          <w:szCs w:val="28"/>
        </w:rPr>
      </w:pPr>
    </w:p>
    <w:p w14:paraId="1D8941B5" w14:textId="4D48FD51" w:rsidR="4F80CB3B" w:rsidRDefault="4F80CB3B" w:rsidP="4F80CB3B">
      <w:pPr>
        <w:spacing w:after="0"/>
        <w:rPr>
          <w:b/>
          <w:bCs/>
          <w:color w:val="104F75"/>
          <w:sz w:val="28"/>
          <w:szCs w:val="28"/>
        </w:rPr>
      </w:pPr>
    </w:p>
    <w:p w14:paraId="63F8271F" w14:textId="0EE2ED08" w:rsidR="4F80CB3B" w:rsidRDefault="4F80CB3B" w:rsidP="4F80CB3B">
      <w:pPr>
        <w:spacing w:after="0"/>
        <w:rPr>
          <w:b/>
          <w:bCs/>
          <w:color w:val="104F75"/>
          <w:sz w:val="28"/>
          <w:szCs w:val="28"/>
        </w:rPr>
      </w:pPr>
    </w:p>
    <w:p w14:paraId="61433E1D" w14:textId="505CE2DD" w:rsidR="4F80CB3B" w:rsidRDefault="4F80CB3B" w:rsidP="4F80CB3B">
      <w:pPr>
        <w:spacing w:after="0"/>
        <w:rPr>
          <w:b/>
          <w:bCs/>
          <w:color w:val="104F75"/>
          <w:sz w:val="28"/>
          <w:szCs w:val="28"/>
        </w:rPr>
      </w:pPr>
    </w:p>
    <w:p w14:paraId="3032CEB2" w14:textId="213B8537" w:rsidR="4F80CB3B" w:rsidRDefault="4F80CB3B" w:rsidP="4F80CB3B">
      <w:pPr>
        <w:spacing w:after="0"/>
        <w:rPr>
          <w:b/>
          <w:bCs/>
          <w:color w:val="104F75"/>
          <w:sz w:val="28"/>
          <w:szCs w:val="28"/>
        </w:rPr>
      </w:pPr>
    </w:p>
    <w:p w14:paraId="67AB8802" w14:textId="17CD606D" w:rsidR="4F80CB3B" w:rsidRDefault="4F80CB3B" w:rsidP="4F80CB3B">
      <w:pPr>
        <w:spacing w:after="0"/>
        <w:rPr>
          <w:b/>
          <w:bCs/>
          <w:color w:val="104F75"/>
          <w:sz w:val="28"/>
          <w:szCs w:val="28"/>
        </w:rPr>
      </w:pPr>
    </w:p>
    <w:p w14:paraId="14518C5C" w14:textId="3367FD23" w:rsidR="4F80CB3B" w:rsidRDefault="4F80CB3B" w:rsidP="4F80CB3B">
      <w:pPr>
        <w:spacing w:after="0"/>
        <w:rPr>
          <w:b/>
          <w:bCs/>
          <w:color w:val="104F75"/>
          <w:sz w:val="28"/>
          <w:szCs w:val="28"/>
        </w:rPr>
      </w:pPr>
    </w:p>
    <w:p w14:paraId="7B695303" w14:textId="7AE4DCA1" w:rsidR="4F80CB3B" w:rsidRDefault="4F80CB3B" w:rsidP="4F80CB3B">
      <w:pPr>
        <w:spacing w:after="0"/>
        <w:rPr>
          <w:b/>
          <w:bCs/>
          <w:color w:val="104F75"/>
          <w:sz w:val="28"/>
          <w:szCs w:val="28"/>
        </w:rPr>
      </w:pPr>
    </w:p>
    <w:p w14:paraId="20C8DBA3" w14:textId="67E6B477" w:rsidR="4F80CB3B" w:rsidRDefault="4F80CB3B" w:rsidP="4F80CB3B">
      <w:pPr>
        <w:spacing w:after="0"/>
        <w:rPr>
          <w:b/>
          <w:bCs/>
          <w:color w:val="104F75"/>
          <w:sz w:val="28"/>
          <w:szCs w:val="28"/>
        </w:rPr>
      </w:pPr>
    </w:p>
    <w:p w14:paraId="349B13B2" w14:textId="4090529A" w:rsidR="4F80CB3B" w:rsidRDefault="4F80CB3B" w:rsidP="4F80CB3B">
      <w:pPr>
        <w:spacing w:after="0"/>
        <w:rPr>
          <w:b/>
          <w:bCs/>
          <w:color w:val="104F75"/>
          <w:sz w:val="28"/>
          <w:szCs w:val="28"/>
        </w:rPr>
      </w:pPr>
    </w:p>
    <w:p w14:paraId="06AA4BAE" w14:textId="4F156E50" w:rsidR="4F80CB3B" w:rsidRDefault="4F80CB3B" w:rsidP="4F80CB3B">
      <w:pPr>
        <w:spacing w:after="0"/>
        <w:rPr>
          <w:b/>
          <w:bCs/>
          <w:color w:val="104F75"/>
          <w:sz w:val="28"/>
          <w:szCs w:val="28"/>
        </w:rPr>
      </w:pPr>
    </w:p>
    <w:p w14:paraId="2A7D5533" w14:textId="222FB2D4" w:rsidR="00E66558" w:rsidRDefault="009D71E8" w:rsidP="4F80CB3B">
      <w:pPr>
        <w:spacing w:before="240" w:after="0"/>
      </w:pPr>
      <w:r w:rsidRPr="4F80CB3B">
        <w:rPr>
          <w:b/>
          <w:bCs/>
          <w:color w:val="104F75"/>
          <w:sz w:val="28"/>
          <w:szCs w:val="28"/>
        </w:rPr>
        <w:t xml:space="preserve">Wider strategies (for example, related to attendance, behaviour, </w:t>
      </w:r>
      <w:proofErr w:type="gramStart"/>
      <w:r w:rsidRPr="4F80CB3B">
        <w:rPr>
          <w:b/>
          <w:bCs/>
          <w:color w:val="104F75"/>
          <w:sz w:val="28"/>
          <w:szCs w:val="28"/>
        </w:rPr>
        <w:t>wellbeing)</w:t>
      </w:r>
      <w:r>
        <w:t>Budgeted</w:t>
      </w:r>
      <w:proofErr w:type="gramEnd"/>
      <w:r>
        <w:t xml:space="preserve"> cost:</w:t>
      </w:r>
      <w:r w:rsidR="2F5AA75D">
        <w:t xml:space="preserve"> TBC</w:t>
      </w:r>
    </w:p>
    <w:tbl>
      <w:tblPr>
        <w:tblW w:w="5000" w:type="pct"/>
        <w:tblCellMar>
          <w:left w:w="10" w:type="dxa"/>
          <w:right w:w="10" w:type="dxa"/>
        </w:tblCellMar>
        <w:tblLook w:val="04A0" w:firstRow="1" w:lastRow="0" w:firstColumn="1" w:lastColumn="0" w:noHBand="0" w:noVBand="1"/>
      </w:tblPr>
      <w:tblGrid>
        <w:gridCol w:w="2876"/>
        <w:gridCol w:w="4851"/>
        <w:gridCol w:w="2729"/>
      </w:tblGrid>
      <w:tr w:rsidR="00E66558" w14:paraId="2A7D5537" w14:textId="77777777" w:rsidTr="4F80CB3B">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BC5112" w14:paraId="2A7D553B" w14:textId="77777777" w:rsidTr="4F80CB3B">
        <w:trPr>
          <w:trHeight w:val="3000"/>
        </w:trPr>
        <w:tc>
          <w:tcPr>
            <w:tcW w:w="2963" w:type="dxa"/>
            <w:tcBorders>
              <w:top w:val="single" w:sz="4" w:space="0" w:color="000000" w:themeColor="text1"/>
              <w:left w:val="single" w:sz="4" w:space="0" w:color="000000" w:themeColor="text1"/>
              <w:right w:val="single" w:sz="4" w:space="0" w:color="000000" w:themeColor="text1"/>
            </w:tcBorders>
            <w:tcMar>
              <w:top w:w="0" w:type="dxa"/>
              <w:left w:w="108" w:type="dxa"/>
              <w:bottom w:w="0" w:type="dxa"/>
              <w:right w:w="108" w:type="dxa"/>
            </w:tcMar>
            <w:vAlign w:val="center"/>
          </w:tcPr>
          <w:p w14:paraId="3AED0ADE" w14:textId="4A670C16" w:rsidR="00BC5112" w:rsidRPr="00B650E6" w:rsidRDefault="0AC2E67D" w:rsidP="4F80CB3B">
            <w:pPr>
              <w:pStyle w:val="TableRow"/>
              <w:ind w:left="0"/>
              <w:rPr>
                <w:sz w:val="18"/>
                <w:szCs w:val="18"/>
              </w:rPr>
            </w:pPr>
            <w:r w:rsidRPr="4F80CB3B">
              <w:rPr>
                <w:sz w:val="18"/>
                <w:szCs w:val="18"/>
              </w:rPr>
              <w:t xml:space="preserve">Develop the role of our </w:t>
            </w:r>
            <w:r w:rsidR="08AF7305" w:rsidRPr="4F80CB3B">
              <w:rPr>
                <w:sz w:val="18"/>
                <w:szCs w:val="18"/>
              </w:rPr>
              <w:t xml:space="preserve">new Inclusion and Safeguarding Manager </w:t>
            </w:r>
            <w:r w:rsidR="1C5D99DD" w:rsidRPr="4F80CB3B">
              <w:rPr>
                <w:sz w:val="18"/>
                <w:szCs w:val="18"/>
              </w:rPr>
              <w:t xml:space="preserve">and access EWO Staffordshire services </w:t>
            </w:r>
            <w:r w:rsidR="601D70B1" w:rsidRPr="4F80CB3B">
              <w:rPr>
                <w:sz w:val="18"/>
                <w:szCs w:val="18"/>
              </w:rPr>
              <w:t>to support families with acute needs</w:t>
            </w:r>
            <w:r w:rsidR="4EB75FCF" w:rsidRPr="4F80CB3B">
              <w:rPr>
                <w:sz w:val="18"/>
                <w:szCs w:val="18"/>
              </w:rPr>
              <w:t xml:space="preserve"> </w:t>
            </w:r>
            <w:r w:rsidR="41A0DCBB" w:rsidRPr="4F80CB3B">
              <w:rPr>
                <w:sz w:val="18"/>
                <w:szCs w:val="18"/>
              </w:rPr>
              <w:t xml:space="preserve">with a focus on </w:t>
            </w:r>
            <w:r w:rsidR="4EB75FCF" w:rsidRPr="4F80CB3B">
              <w:rPr>
                <w:sz w:val="18"/>
                <w:szCs w:val="18"/>
              </w:rPr>
              <w:t>i</w:t>
            </w:r>
            <w:r w:rsidR="601D70B1" w:rsidRPr="4F80CB3B">
              <w:rPr>
                <w:sz w:val="18"/>
                <w:szCs w:val="18"/>
              </w:rPr>
              <w:t>mproving attendance and readiness to learn for the most disadvantaged pupils.</w:t>
            </w:r>
          </w:p>
          <w:p w14:paraId="2A7D5538" w14:textId="433527EF" w:rsidR="00BC5112" w:rsidRPr="00B650E6" w:rsidRDefault="00BC5112" w:rsidP="29901215">
            <w:pPr>
              <w:pStyle w:val="TableRow"/>
              <w:ind w:left="0"/>
              <w:rPr>
                <w:sz w:val="18"/>
                <w:szCs w:val="18"/>
              </w:rPr>
            </w:pPr>
          </w:p>
        </w:tc>
        <w:tc>
          <w:tcPr>
            <w:tcW w:w="4689"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6C655D31" w14:textId="20B094B7" w:rsidR="00BC5112" w:rsidRPr="00B650E6" w:rsidRDefault="70FA06FB" w:rsidP="29901215">
            <w:pPr>
              <w:pStyle w:val="TableRowCentered"/>
              <w:ind w:left="0"/>
              <w:jc w:val="left"/>
              <w:rPr>
                <w:rFonts w:asciiTheme="minorHAnsi" w:hAnsiTheme="minorHAnsi" w:cstheme="minorBidi"/>
                <w:sz w:val="18"/>
                <w:szCs w:val="18"/>
              </w:rPr>
            </w:pPr>
            <w:r w:rsidRPr="29901215">
              <w:rPr>
                <w:rFonts w:asciiTheme="minorHAnsi" w:hAnsiTheme="minorHAnsi" w:cstheme="minorBidi"/>
                <w:sz w:val="18"/>
                <w:szCs w:val="18"/>
              </w:rPr>
              <w:t>A minimum of 90% of families (who are in receipt of PP</w:t>
            </w:r>
            <w:r w:rsidR="7D22B4F8" w:rsidRPr="29901215">
              <w:rPr>
                <w:rFonts w:asciiTheme="minorHAnsi" w:hAnsiTheme="minorHAnsi" w:cstheme="minorBidi"/>
                <w:sz w:val="18"/>
                <w:szCs w:val="18"/>
              </w:rPr>
              <w:t>)</w:t>
            </w:r>
            <w:r w:rsidRPr="29901215">
              <w:rPr>
                <w:rFonts w:asciiTheme="minorHAnsi" w:hAnsiTheme="minorHAnsi" w:cstheme="minorBidi"/>
                <w:sz w:val="18"/>
                <w:szCs w:val="18"/>
              </w:rPr>
              <w:t xml:space="preserve"> access </w:t>
            </w:r>
            <w:r w:rsidR="4568984D" w:rsidRPr="29901215">
              <w:rPr>
                <w:rFonts w:asciiTheme="minorHAnsi" w:hAnsiTheme="minorHAnsi" w:cstheme="minorBidi"/>
                <w:sz w:val="18"/>
                <w:szCs w:val="18"/>
              </w:rPr>
              <w:t xml:space="preserve">additional support from school. </w:t>
            </w:r>
          </w:p>
          <w:p w14:paraId="722B4C06" w14:textId="057B33F9" w:rsidR="00BC5112" w:rsidRPr="00B650E6" w:rsidRDefault="00BC5112" w:rsidP="00BC5112">
            <w:pPr>
              <w:pStyle w:val="TableRowCentered"/>
              <w:ind w:left="0"/>
              <w:jc w:val="left"/>
              <w:rPr>
                <w:rFonts w:asciiTheme="minorHAnsi" w:hAnsiTheme="minorHAnsi" w:cstheme="minorHAnsi"/>
                <w:sz w:val="18"/>
                <w:szCs w:val="18"/>
              </w:rPr>
            </w:pPr>
          </w:p>
          <w:p w14:paraId="628586A9" w14:textId="551F96AF" w:rsidR="006927C5" w:rsidRPr="00B650E6" w:rsidRDefault="0039583C" w:rsidP="00BC5112">
            <w:pPr>
              <w:pStyle w:val="TableRowCentered"/>
              <w:ind w:left="0"/>
              <w:jc w:val="left"/>
              <w:rPr>
                <w:rFonts w:asciiTheme="minorHAnsi" w:hAnsiTheme="minorHAnsi" w:cstheme="minorHAnsi"/>
                <w:sz w:val="18"/>
                <w:szCs w:val="18"/>
              </w:rPr>
            </w:pPr>
            <w:hyperlink r:id="rId20" w:history="1">
              <w:r w:rsidR="006927C5" w:rsidRPr="00B650E6">
                <w:rPr>
                  <w:rStyle w:val="Hyperlink"/>
                  <w:rFonts w:asciiTheme="minorHAnsi" w:hAnsiTheme="minorHAnsi" w:cstheme="minorHAnsi"/>
                  <w:sz w:val="18"/>
                  <w:szCs w:val="18"/>
                </w:rPr>
                <w:t>https://educationendowmentfoundation.org.uk/education-evidence/teaching-learning-toolkit/parental-engagement</w:t>
              </w:r>
            </w:hyperlink>
            <w:r w:rsidR="006927C5" w:rsidRPr="00B650E6">
              <w:rPr>
                <w:rFonts w:asciiTheme="minorHAnsi" w:hAnsiTheme="minorHAnsi" w:cstheme="minorHAnsi"/>
                <w:sz w:val="18"/>
                <w:szCs w:val="18"/>
              </w:rPr>
              <w:t xml:space="preserve"> </w:t>
            </w:r>
          </w:p>
          <w:p w14:paraId="2B571382" w14:textId="77777777" w:rsidR="00BC5112" w:rsidRPr="00B650E6" w:rsidRDefault="00BC5112" w:rsidP="00BC5112">
            <w:pPr>
              <w:pStyle w:val="TableRowCentered"/>
              <w:ind w:left="0"/>
              <w:jc w:val="left"/>
              <w:rPr>
                <w:rFonts w:asciiTheme="minorHAnsi" w:hAnsiTheme="minorHAnsi" w:cstheme="minorHAnsi"/>
                <w:sz w:val="18"/>
                <w:szCs w:val="18"/>
              </w:rPr>
            </w:pPr>
          </w:p>
          <w:p w14:paraId="71238B74" w14:textId="77777777" w:rsidR="006927C5" w:rsidRDefault="006927C5" w:rsidP="00BC5112">
            <w:pPr>
              <w:pStyle w:val="TableRowCentered"/>
              <w:ind w:left="0"/>
              <w:jc w:val="left"/>
              <w:rPr>
                <w:rFonts w:asciiTheme="minorHAnsi" w:hAnsiTheme="minorHAnsi" w:cstheme="minorHAnsi"/>
                <w:color w:val="263238"/>
                <w:sz w:val="18"/>
                <w:szCs w:val="18"/>
                <w:shd w:val="clear" w:color="auto" w:fill="FFFFFF"/>
              </w:rPr>
            </w:pPr>
            <w:r w:rsidRPr="00B650E6">
              <w:rPr>
                <w:rFonts w:asciiTheme="minorHAnsi" w:hAnsiTheme="minorHAnsi" w:cstheme="minorHAnsi"/>
                <w:color w:val="263238"/>
                <w:sz w:val="18"/>
                <w:szCs w:val="18"/>
                <w:shd w:val="clear" w:color="auto" w:fill="FFFFFF"/>
              </w:rPr>
              <w:t>The average impact of the Parental engagement approaches is about an additional four months’ progress over the course of a year. There are also higher impacts for pupils with low prior attainment.</w:t>
            </w:r>
          </w:p>
          <w:p w14:paraId="3FE8F6B3" w14:textId="77777777" w:rsidR="005D158C" w:rsidRDefault="005D158C" w:rsidP="00BC5112">
            <w:pPr>
              <w:pStyle w:val="TableRowCentered"/>
              <w:ind w:left="0"/>
              <w:jc w:val="left"/>
              <w:rPr>
                <w:rFonts w:asciiTheme="minorHAnsi" w:hAnsiTheme="minorHAnsi" w:cstheme="minorHAnsi"/>
                <w:color w:val="263238"/>
                <w:sz w:val="18"/>
                <w:szCs w:val="18"/>
                <w:shd w:val="clear" w:color="auto" w:fill="FFFFFF"/>
              </w:rPr>
            </w:pPr>
          </w:p>
          <w:p w14:paraId="2A7D5539" w14:textId="363FD150" w:rsidR="005D158C" w:rsidRPr="0015390F" w:rsidRDefault="0039583C" w:rsidP="00BC5112">
            <w:pPr>
              <w:pStyle w:val="TableRowCentered"/>
              <w:ind w:left="0"/>
              <w:jc w:val="left"/>
              <w:rPr>
                <w:rFonts w:asciiTheme="minorHAnsi" w:hAnsiTheme="minorHAnsi" w:cstheme="minorHAnsi"/>
                <w:sz w:val="18"/>
                <w:szCs w:val="18"/>
              </w:rPr>
            </w:pPr>
            <w:hyperlink r:id="rId21" w:history="1">
              <w:r w:rsidR="005D158C" w:rsidRPr="0015390F">
                <w:rPr>
                  <w:rStyle w:val="Hyperlink"/>
                  <w:rFonts w:asciiTheme="minorHAnsi" w:hAnsiTheme="minorHAnsi" w:cstheme="minorHAnsi"/>
                  <w:sz w:val="18"/>
                  <w:szCs w:val="18"/>
                </w:rPr>
                <w:t>Working together to improve school attendance (publishing.service.gov.uk)</w:t>
              </w:r>
            </w:hyperlink>
          </w:p>
        </w:tc>
        <w:tc>
          <w:tcPr>
            <w:tcW w:w="2804"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A" w14:textId="3198E4E3" w:rsidR="00BC5112" w:rsidRDefault="006927C5" w:rsidP="008C5528">
            <w:pPr>
              <w:pStyle w:val="TableRowCentered"/>
              <w:jc w:val="left"/>
              <w:rPr>
                <w:sz w:val="22"/>
              </w:rPr>
            </w:pPr>
            <w:r>
              <w:rPr>
                <w:sz w:val="22"/>
              </w:rPr>
              <w:t>3</w:t>
            </w:r>
          </w:p>
        </w:tc>
      </w:tr>
      <w:tr w:rsidR="008C5528" w14:paraId="2A7D553F" w14:textId="77777777" w:rsidTr="4F80CB3B">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6BD6E6D5" w14:textId="2DC39562" w:rsidR="00BC5112" w:rsidRPr="00B650E6" w:rsidRDefault="601D70B1" w:rsidP="008C5528">
            <w:pPr>
              <w:pStyle w:val="TableRow"/>
              <w:rPr>
                <w:sz w:val="18"/>
                <w:szCs w:val="18"/>
              </w:rPr>
            </w:pPr>
            <w:r w:rsidRPr="4F80CB3B">
              <w:rPr>
                <w:sz w:val="18"/>
                <w:szCs w:val="18"/>
              </w:rPr>
              <w:t>Emotion Coaching</w:t>
            </w:r>
            <w:r w:rsidR="00201B07">
              <w:rPr>
                <w:sz w:val="18"/>
                <w:szCs w:val="18"/>
              </w:rPr>
              <w:t xml:space="preserve"> principles, ELSA</w:t>
            </w:r>
            <w:r w:rsidR="11A19E8F" w:rsidRPr="4F80CB3B">
              <w:rPr>
                <w:sz w:val="18"/>
                <w:szCs w:val="18"/>
              </w:rPr>
              <w:t xml:space="preserve">, </w:t>
            </w:r>
            <w:r w:rsidR="217F8A46" w:rsidRPr="4F80CB3B">
              <w:rPr>
                <w:sz w:val="18"/>
                <w:szCs w:val="18"/>
              </w:rPr>
              <w:t xml:space="preserve">sensory circuit </w:t>
            </w:r>
            <w:r w:rsidRPr="4F80CB3B">
              <w:rPr>
                <w:sz w:val="18"/>
                <w:szCs w:val="18"/>
              </w:rPr>
              <w:t xml:space="preserve">resources and </w:t>
            </w:r>
            <w:r w:rsidR="00483D37" w:rsidRPr="4F80CB3B">
              <w:rPr>
                <w:sz w:val="18"/>
                <w:szCs w:val="18"/>
              </w:rPr>
              <w:t>ongoing</w:t>
            </w:r>
            <w:r w:rsidRPr="4F80CB3B">
              <w:rPr>
                <w:sz w:val="18"/>
                <w:szCs w:val="18"/>
              </w:rPr>
              <w:t xml:space="preserve"> training to support self-regulation and </w:t>
            </w:r>
            <w:proofErr w:type="gramStart"/>
            <w:r w:rsidRPr="4F80CB3B">
              <w:rPr>
                <w:sz w:val="18"/>
                <w:szCs w:val="18"/>
              </w:rPr>
              <w:t>problem solving</w:t>
            </w:r>
            <w:proofErr w:type="gramEnd"/>
            <w:r w:rsidRPr="4F80CB3B">
              <w:rPr>
                <w:sz w:val="18"/>
                <w:szCs w:val="18"/>
              </w:rPr>
              <w:t xml:space="preserve"> strategies.</w:t>
            </w:r>
          </w:p>
          <w:p w14:paraId="77E65CDE" w14:textId="4ACE9C19" w:rsidR="4F80CB3B" w:rsidRDefault="4F80CB3B" w:rsidP="4F80CB3B">
            <w:pPr>
              <w:pStyle w:val="TableRow"/>
              <w:rPr>
                <w:sz w:val="18"/>
                <w:szCs w:val="18"/>
              </w:rPr>
            </w:pPr>
          </w:p>
          <w:p w14:paraId="04D3DDAC" w14:textId="68BD2741" w:rsidR="00C0A4E2" w:rsidRDefault="00C0A4E2" w:rsidP="4F80CB3B">
            <w:pPr>
              <w:pStyle w:val="TableRow"/>
              <w:rPr>
                <w:sz w:val="18"/>
                <w:szCs w:val="18"/>
              </w:rPr>
            </w:pPr>
            <w:r w:rsidRPr="4F80CB3B">
              <w:rPr>
                <w:sz w:val="18"/>
                <w:szCs w:val="18"/>
              </w:rPr>
              <w:t xml:space="preserve">Provide access to alternative provision such as Rainbow Room and </w:t>
            </w:r>
            <w:proofErr w:type="spellStart"/>
            <w:r w:rsidRPr="4F80CB3B">
              <w:rPr>
                <w:sz w:val="18"/>
                <w:szCs w:val="18"/>
              </w:rPr>
              <w:t>Cornerpost</w:t>
            </w:r>
            <w:proofErr w:type="spellEnd"/>
            <w:r w:rsidRPr="4F80CB3B">
              <w:rPr>
                <w:sz w:val="18"/>
                <w:szCs w:val="18"/>
              </w:rPr>
              <w:t xml:space="preserve"> Education Centre as required. </w:t>
            </w:r>
          </w:p>
          <w:p w14:paraId="043FD9B1" w14:textId="77777777" w:rsidR="00201B07" w:rsidRDefault="00201B07" w:rsidP="4F80CB3B">
            <w:pPr>
              <w:pStyle w:val="TableRow"/>
              <w:rPr>
                <w:sz w:val="18"/>
                <w:szCs w:val="18"/>
              </w:rPr>
            </w:pPr>
          </w:p>
          <w:p w14:paraId="2928B1A2" w14:textId="419FC9CE" w:rsidR="00201B07" w:rsidRDefault="00201B07" w:rsidP="4F80CB3B">
            <w:pPr>
              <w:pStyle w:val="TableRow"/>
              <w:rPr>
                <w:sz w:val="18"/>
                <w:szCs w:val="18"/>
              </w:rPr>
            </w:pPr>
          </w:p>
          <w:p w14:paraId="2A7D553C" w14:textId="02B46974" w:rsidR="00BC5112" w:rsidRPr="00B650E6" w:rsidRDefault="00BC5112" w:rsidP="008C5528">
            <w:pPr>
              <w:pStyle w:val="TableRow"/>
              <w:rPr>
                <w:i/>
                <w:sz w:val="18"/>
                <w:szCs w:val="18"/>
              </w:rPr>
            </w:pPr>
          </w:p>
        </w:tc>
        <w:tc>
          <w:tcPr>
            <w:tcW w:w="4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13E511" w14:textId="504537D3" w:rsidR="0009659F" w:rsidRPr="00B650E6" w:rsidRDefault="0009659F" w:rsidP="008C5528">
            <w:pPr>
              <w:pStyle w:val="TableRowCentered"/>
              <w:jc w:val="left"/>
              <w:rPr>
                <w:sz w:val="18"/>
                <w:szCs w:val="18"/>
              </w:rPr>
            </w:pPr>
            <w:r w:rsidRPr="00B650E6">
              <w:rPr>
                <w:sz w:val="18"/>
                <w:szCs w:val="18"/>
              </w:rPr>
              <w:t xml:space="preserve">Evidence from psychology demonstrates a clear development pattern that affects behaviour in children and young people, which can support teacher understanding. Research on ACEs demonstrates that being exposed to four or more significant adverse experiences tends to affect children and teenagers’ behaviour as well as their physical and mental health, both immediately and throughout their lives. This is a relatively new field of </w:t>
            </w:r>
            <w:proofErr w:type="gramStart"/>
            <w:r w:rsidRPr="00B650E6">
              <w:rPr>
                <w:sz w:val="18"/>
                <w:szCs w:val="18"/>
              </w:rPr>
              <w:t>research</w:t>
            </w:r>
            <w:proofErr w:type="gramEnd"/>
            <w:r w:rsidRPr="00B650E6">
              <w:rPr>
                <w:sz w:val="18"/>
                <w:szCs w:val="18"/>
              </w:rPr>
              <w:t xml:space="preserve"> and it appears that interventions can reduce the harmful effects, but more research is needed to understand the most useful ways of applying this knowledge to support children and young people in schools. There is a strong evidence base that teacher-pupil relationships are key to good pupil behaviour and that these relationships can affect pupil effort and academic </w:t>
            </w:r>
            <w:proofErr w:type="gramStart"/>
            <w:r w:rsidRPr="00B650E6">
              <w:rPr>
                <w:sz w:val="18"/>
                <w:szCs w:val="18"/>
              </w:rPr>
              <w:t>attainment</w:t>
            </w:r>
            <w:proofErr w:type="gramEnd"/>
          </w:p>
          <w:p w14:paraId="2477CE0C" w14:textId="77777777" w:rsidR="0015390F" w:rsidRDefault="0015390F" w:rsidP="008C5528">
            <w:pPr>
              <w:pStyle w:val="TableRowCentered"/>
              <w:jc w:val="left"/>
              <w:rPr>
                <w:sz w:val="18"/>
                <w:szCs w:val="18"/>
              </w:rPr>
            </w:pPr>
          </w:p>
          <w:p w14:paraId="2A7D553D" w14:textId="3BED5053" w:rsidR="0015390F" w:rsidRPr="0015390F" w:rsidRDefault="0039583C" w:rsidP="008C5528">
            <w:pPr>
              <w:pStyle w:val="TableRowCentered"/>
              <w:jc w:val="left"/>
              <w:rPr>
                <w:rFonts w:asciiTheme="minorHAnsi" w:hAnsiTheme="minorHAnsi" w:cstheme="minorHAnsi"/>
                <w:sz w:val="18"/>
                <w:szCs w:val="18"/>
              </w:rPr>
            </w:pPr>
            <w:hyperlink r:id="rId22" w:history="1">
              <w:r w:rsidR="0015390F" w:rsidRPr="0015390F">
                <w:rPr>
                  <w:rStyle w:val="Hyperlink"/>
                  <w:rFonts w:asciiTheme="minorHAnsi" w:hAnsiTheme="minorHAnsi" w:cstheme="minorHAnsi"/>
                  <w:sz w:val="18"/>
                  <w:szCs w:val="18"/>
                </w:rPr>
                <w:t>Behaviour interventions | EEF (educationendowmentfoundation.org.uk)</w:t>
              </w:r>
            </w:hyperlink>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5D0BC7" w14:textId="4187E58D" w:rsidR="008C5528" w:rsidRDefault="69425459" w:rsidP="29901215">
            <w:pPr>
              <w:pStyle w:val="TableRowCentered"/>
              <w:jc w:val="left"/>
              <w:rPr>
                <w:sz w:val="22"/>
                <w:szCs w:val="22"/>
              </w:rPr>
            </w:pPr>
            <w:r w:rsidRPr="29901215">
              <w:rPr>
                <w:sz w:val="22"/>
                <w:szCs w:val="22"/>
              </w:rPr>
              <w:t>4</w:t>
            </w:r>
          </w:p>
          <w:p w14:paraId="05A673A1" w14:textId="11CABE2F" w:rsidR="008C5528" w:rsidRDefault="008C5528" w:rsidP="29901215">
            <w:pPr>
              <w:pStyle w:val="TableRowCentered"/>
              <w:jc w:val="left"/>
              <w:rPr>
                <w:sz w:val="22"/>
                <w:szCs w:val="22"/>
              </w:rPr>
            </w:pPr>
          </w:p>
          <w:p w14:paraId="2B86DA02" w14:textId="3110AE72" w:rsidR="008C5528" w:rsidRDefault="008C5528" w:rsidP="29901215">
            <w:pPr>
              <w:pStyle w:val="TableRowCentered"/>
              <w:jc w:val="left"/>
              <w:rPr>
                <w:sz w:val="22"/>
                <w:szCs w:val="22"/>
              </w:rPr>
            </w:pPr>
          </w:p>
          <w:p w14:paraId="1CCFD752" w14:textId="7C23EF7E" w:rsidR="008C5528" w:rsidRDefault="008C5528" w:rsidP="29901215">
            <w:pPr>
              <w:pStyle w:val="TableRowCentered"/>
              <w:jc w:val="left"/>
              <w:rPr>
                <w:sz w:val="22"/>
                <w:szCs w:val="22"/>
              </w:rPr>
            </w:pPr>
          </w:p>
          <w:p w14:paraId="4379151F" w14:textId="029353A8" w:rsidR="008C5528" w:rsidRDefault="008C5528" w:rsidP="29901215">
            <w:pPr>
              <w:pStyle w:val="TableRowCentered"/>
              <w:jc w:val="left"/>
              <w:rPr>
                <w:sz w:val="22"/>
                <w:szCs w:val="22"/>
              </w:rPr>
            </w:pPr>
          </w:p>
          <w:p w14:paraId="70630532" w14:textId="7EFAB35D" w:rsidR="008C5528" w:rsidRDefault="008C5528" w:rsidP="29901215">
            <w:pPr>
              <w:pStyle w:val="TableRowCentered"/>
              <w:jc w:val="left"/>
              <w:rPr>
                <w:sz w:val="22"/>
                <w:szCs w:val="22"/>
              </w:rPr>
            </w:pPr>
          </w:p>
          <w:p w14:paraId="5345C49C" w14:textId="1BFFC929" w:rsidR="008C5528" w:rsidRDefault="008C5528" w:rsidP="29901215">
            <w:pPr>
              <w:pStyle w:val="TableRowCentered"/>
              <w:jc w:val="left"/>
              <w:rPr>
                <w:sz w:val="22"/>
                <w:szCs w:val="22"/>
              </w:rPr>
            </w:pPr>
          </w:p>
          <w:p w14:paraId="65A4F6A9" w14:textId="7A040456" w:rsidR="008C5528" w:rsidRDefault="008C5528" w:rsidP="29901215">
            <w:pPr>
              <w:pStyle w:val="TableRowCentered"/>
              <w:jc w:val="left"/>
              <w:rPr>
                <w:sz w:val="22"/>
                <w:szCs w:val="22"/>
              </w:rPr>
            </w:pPr>
          </w:p>
          <w:p w14:paraId="08E66F03" w14:textId="2AB60EE8" w:rsidR="008C5528" w:rsidRDefault="008C5528" w:rsidP="29901215">
            <w:pPr>
              <w:pStyle w:val="TableRowCentered"/>
              <w:jc w:val="left"/>
              <w:rPr>
                <w:sz w:val="22"/>
                <w:szCs w:val="22"/>
              </w:rPr>
            </w:pPr>
          </w:p>
          <w:p w14:paraId="426FC770" w14:textId="6889F893" w:rsidR="008C5528" w:rsidRDefault="008C5528" w:rsidP="29901215">
            <w:pPr>
              <w:pStyle w:val="TableRowCentered"/>
              <w:jc w:val="left"/>
              <w:rPr>
                <w:sz w:val="22"/>
                <w:szCs w:val="22"/>
              </w:rPr>
            </w:pPr>
          </w:p>
          <w:p w14:paraId="403D119E" w14:textId="103333C5" w:rsidR="008C5528" w:rsidRDefault="008C5528" w:rsidP="29901215">
            <w:pPr>
              <w:pStyle w:val="TableRowCentered"/>
              <w:jc w:val="left"/>
              <w:rPr>
                <w:sz w:val="22"/>
                <w:szCs w:val="22"/>
              </w:rPr>
            </w:pPr>
          </w:p>
          <w:p w14:paraId="285D2808" w14:textId="345E4788" w:rsidR="008C5528" w:rsidRDefault="008C5528" w:rsidP="29901215">
            <w:pPr>
              <w:pStyle w:val="TableRowCentered"/>
              <w:jc w:val="left"/>
              <w:rPr>
                <w:sz w:val="22"/>
                <w:szCs w:val="22"/>
              </w:rPr>
            </w:pPr>
          </w:p>
          <w:p w14:paraId="2A7D553E" w14:textId="5FFB02C0" w:rsidR="008C5528" w:rsidRDefault="008C5528" w:rsidP="29901215">
            <w:pPr>
              <w:pStyle w:val="TableRowCentered"/>
              <w:jc w:val="left"/>
              <w:rPr>
                <w:sz w:val="22"/>
                <w:szCs w:val="22"/>
              </w:rPr>
            </w:pPr>
          </w:p>
        </w:tc>
      </w:tr>
      <w:tr w:rsidR="29901215" w14:paraId="58C6F2A8" w14:textId="77777777" w:rsidTr="4F80CB3B">
        <w:trPr>
          <w:trHeight w:val="300"/>
        </w:trPr>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08A4ACFC" w14:textId="458C71A8" w:rsidR="26D741B0" w:rsidRDefault="2553733B" w:rsidP="4F80CB3B">
            <w:pPr>
              <w:pStyle w:val="TableRow"/>
              <w:ind w:left="0"/>
              <w:rPr>
                <w:sz w:val="18"/>
                <w:szCs w:val="18"/>
              </w:rPr>
            </w:pPr>
            <w:r w:rsidRPr="4F80CB3B">
              <w:rPr>
                <w:sz w:val="18"/>
                <w:szCs w:val="18"/>
              </w:rPr>
              <w:t>Develop a school library to be accessed by the whole school community</w:t>
            </w:r>
            <w:r w:rsidR="6AFD724F" w:rsidRPr="4F80CB3B">
              <w:rPr>
                <w:sz w:val="18"/>
                <w:szCs w:val="18"/>
              </w:rPr>
              <w:t xml:space="preserve"> </w:t>
            </w:r>
            <w:proofErr w:type="gramStart"/>
            <w:r w:rsidR="6AFD724F" w:rsidRPr="4F80CB3B">
              <w:rPr>
                <w:sz w:val="18"/>
                <w:szCs w:val="18"/>
              </w:rPr>
              <w:t>in order to</w:t>
            </w:r>
            <w:proofErr w:type="gramEnd"/>
            <w:r w:rsidR="6AFD724F" w:rsidRPr="4F80CB3B">
              <w:rPr>
                <w:sz w:val="18"/>
                <w:szCs w:val="18"/>
              </w:rPr>
              <w:t xml:space="preserve"> promote reading for pleasure. </w:t>
            </w:r>
          </w:p>
          <w:p w14:paraId="0B7941CC" w14:textId="3CC0DB3B" w:rsidR="26D741B0" w:rsidRDefault="26D741B0" w:rsidP="4F80CB3B">
            <w:pPr>
              <w:pStyle w:val="TableRow"/>
              <w:ind w:left="0"/>
              <w:rPr>
                <w:sz w:val="18"/>
                <w:szCs w:val="18"/>
              </w:rPr>
            </w:pPr>
          </w:p>
          <w:p w14:paraId="5A38F065" w14:textId="7E3D9D3C" w:rsidR="26D741B0" w:rsidRDefault="33285FAC" w:rsidP="29901215">
            <w:pPr>
              <w:pStyle w:val="TableRow"/>
              <w:ind w:left="0"/>
              <w:rPr>
                <w:sz w:val="18"/>
                <w:szCs w:val="18"/>
              </w:rPr>
            </w:pPr>
            <w:r w:rsidRPr="4F80CB3B">
              <w:rPr>
                <w:sz w:val="18"/>
                <w:szCs w:val="18"/>
              </w:rPr>
              <w:t>Ensure</w:t>
            </w:r>
            <w:r w:rsidR="4BEA9542" w:rsidRPr="4F80CB3B">
              <w:rPr>
                <w:sz w:val="18"/>
                <w:szCs w:val="18"/>
              </w:rPr>
              <w:t xml:space="preserve"> reading books children access in KS2 match their </w:t>
            </w:r>
            <w:r w:rsidR="23216FC0" w:rsidRPr="4F80CB3B">
              <w:rPr>
                <w:sz w:val="18"/>
                <w:szCs w:val="18"/>
              </w:rPr>
              <w:t xml:space="preserve">reading fluency and comprehension level through purchasing </w:t>
            </w:r>
            <w:r w:rsidR="22203BDA" w:rsidRPr="4F80CB3B">
              <w:rPr>
                <w:sz w:val="18"/>
                <w:szCs w:val="18"/>
              </w:rPr>
              <w:t>a reading scheme.</w:t>
            </w:r>
          </w:p>
        </w:tc>
        <w:tc>
          <w:tcPr>
            <w:tcW w:w="48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3802B2" w14:textId="16EE6876" w:rsidR="55B7CE8E" w:rsidRDefault="55B7CE8E" w:rsidP="29901215">
            <w:pPr>
              <w:pStyle w:val="TableRowCentered"/>
              <w:jc w:val="left"/>
              <w:rPr>
                <w:sz w:val="16"/>
                <w:szCs w:val="16"/>
              </w:rPr>
            </w:pPr>
            <w:r w:rsidRPr="29901215">
              <w:rPr>
                <w:sz w:val="16"/>
                <w:szCs w:val="16"/>
              </w:rPr>
              <w:t>DFE Reading Framework recommend the following-</w:t>
            </w:r>
          </w:p>
          <w:p w14:paraId="6CD3B2A3" w14:textId="61709707" w:rsidR="55B7CE8E" w:rsidRDefault="55B7CE8E" w:rsidP="29901215">
            <w:pPr>
              <w:pStyle w:val="TableRowCentered"/>
              <w:jc w:val="left"/>
              <w:rPr>
                <w:sz w:val="16"/>
                <w:szCs w:val="16"/>
              </w:rPr>
            </w:pPr>
            <w:r w:rsidRPr="29901215">
              <w:rPr>
                <w:sz w:val="16"/>
                <w:szCs w:val="16"/>
              </w:rPr>
              <w:t xml:space="preserve">SCHOOL LIBRARIES AND BOOK CORNERS Schools should arrange their libraries like bookshops, promoting </w:t>
            </w:r>
            <w:proofErr w:type="gramStart"/>
            <w:r w:rsidRPr="29901215">
              <w:rPr>
                <w:sz w:val="16"/>
                <w:szCs w:val="16"/>
              </w:rPr>
              <w:t>particular books</w:t>
            </w:r>
            <w:proofErr w:type="gramEnd"/>
            <w:r w:rsidRPr="29901215">
              <w:rPr>
                <w:sz w:val="16"/>
                <w:szCs w:val="16"/>
              </w:rPr>
              <w:t xml:space="preserve"> and authors and making it clear where children can find books that interest them. Classroom reading areas should mirror this </w:t>
            </w:r>
            <w:proofErr w:type="gramStart"/>
            <w:r w:rsidRPr="29901215">
              <w:rPr>
                <w:sz w:val="16"/>
                <w:szCs w:val="16"/>
              </w:rPr>
              <w:t>approach, and</w:t>
            </w:r>
            <w:proofErr w:type="gramEnd"/>
            <w:r w:rsidRPr="29901215">
              <w:rPr>
                <w:sz w:val="16"/>
                <w:szCs w:val="16"/>
              </w:rPr>
              <w:t xml:space="preserve"> should have books facing forward where possible so that pupils can be enticed by the cover, name and author more easily. Including recommendations from other pupils - such as the three-word book review - can be a helpful way of using peer influence to promote a love of reading. Books that are not worth reading should not be on the shelves.</w:t>
            </w:r>
          </w:p>
          <w:p w14:paraId="23DF9ABB" w14:textId="2C3E75CE" w:rsidR="29901215" w:rsidRDefault="29901215" w:rsidP="29901215">
            <w:pPr>
              <w:pStyle w:val="TableRowCentered"/>
              <w:jc w:val="left"/>
              <w:rPr>
                <w:sz w:val="16"/>
                <w:szCs w:val="16"/>
              </w:rPr>
            </w:pPr>
          </w:p>
          <w:p w14:paraId="36FD3118" w14:textId="77777777" w:rsidR="55B7CE8E" w:rsidRDefault="55B7CE8E" w:rsidP="29901215">
            <w:pPr>
              <w:pStyle w:val="TableRowCentered"/>
              <w:jc w:val="left"/>
              <w:rPr>
                <w:sz w:val="16"/>
                <w:szCs w:val="16"/>
              </w:rPr>
            </w:pPr>
            <w:r w:rsidRPr="29901215">
              <w:rPr>
                <w:sz w:val="16"/>
                <w:szCs w:val="16"/>
              </w:rPr>
              <w:t xml:space="preserve">READING FOR PLEASURE In order to become accomplished readers, children need to improve their reading miles. Whilst a love of reading cannot be mandated, pupils can be inspired to consume a feast of books throughout their education. Schools should take a strategic approach to nurture a love of reading: </w:t>
            </w:r>
            <w:r w:rsidRPr="29901215">
              <w:rPr>
                <w:sz w:val="16"/>
                <w:szCs w:val="16"/>
              </w:rPr>
              <w:lastRenderedPageBreak/>
              <w:t>competitions and extrinsic motivators are less effective of creating a genuine passion. Whilst dressing up and theme days have their place in launching new initiatives, core strategies to develop reading for pleasure include lots of adult modelling, discussion, sharing books and stories, library time and providing time to read.</w:t>
            </w:r>
          </w:p>
          <w:p w14:paraId="0B8FB0A6" w14:textId="77777777" w:rsidR="00A51B9D" w:rsidRDefault="00A51B9D" w:rsidP="29901215">
            <w:pPr>
              <w:pStyle w:val="TableRowCentered"/>
              <w:jc w:val="left"/>
              <w:rPr>
                <w:sz w:val="16"/>
                <w:szCs w:val="16"/>
              </w:rPr>
            </w:pPr>
          </w:p>
          <w:p w14:paraId="3FC59D22" w14:textId="3CEC2B42" w:rsidR="00A51B9D" w:rsidRPr="00A51B9D" w:rsidRDefault="0039583C" w:rsidP="29901215">
            <w:pPr>
              <w:pStyle w:val="TableRowCentered"/>
              <w:jc w:val="left"/>
              <w:rPr>
                <w:rFonts w:asciiTheme="minorHAnsi" w:hAnsiTheme="minorHAnsi" w:cstheme="minorHAnsi"/>
                <w:sz w:val="18"/>
                <w:szCs w:val="18"/>
                <w:u w:val="single"/>
              </w:rPr>
            </w:pPr>
            <w:hyperlink r:id="rId23" w:history="1">
              <w:r w:rsidR="00A51B9D" w:rsidRPr="00A51B9D">
                <w:rPr>
                  <w:rStyle w:val="Hyperlink"/>
                  <w:rFonts w:asciiTheme="minorHAnsi" w:hAnsiTheme="minorHAnsi" w:cstheme="minorHAnsi"/>
                  <w:sz w:val="18"/>
                  <w:szCs w:val="18"/>
                </w:rPr>
                <w:t>The reading framework (publishing.service.gov.uk)</w:t>
              </w:r>
            </w:hyperlink>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5171C8" w14:textId="79F3BC25" w:rsidR="29901215" w:rsidRDefault="64CCE415" w:rsidP="29901215">
            <w:pPr>
              <w:pStyle w:val="TableRowCentered"/>
              <w:jc w:val="left"/>
              <w:rPr>
                <w:sz w:val="22"/>
                <w:szCs w:val="22"/>
              </w:rPr>
            </w:pPr>
            <w:r w:rsidRPr="4F80CB3B">
              <w:rPr>
                <w:sz w:val="22"/>
                <w:szCs w:val="22"/>
              </w:rPr>
              <w:lastRenderedPageBreak/>
              <w:t>1 &amp; 2</w:t>
            </w:r>
          </w:p>
        </w:tc>
      </w:tr>
    </w:tbl>
    <w:p w14:paraId="4E54DB6F" w14:textId="711F8D52" w:rsidR="00E66558" w:rsidRPr="00303A0E" w:rsidRDefault="00303A0E" w:rsidP="4F80CB3B">
      <w:pPr>
        <w:spacing w:before="240" w:after="0"/>
        <w:rPr>
          <w:rFonts w:asciiTheme="minorHAnsi" w:hAnsiTheme="minorHAnsi" w:cstheme="minorBidi"/>
          <w:color w:val="0070C0"/>
          <w:sz w:val="28"/>
          <w:szCs w:val="28"/>
        </w:rPr>
      </w:pPr>
      <w:r w:rsidRPr="4F80CB3B">
        <w:rPr>
          <w:rFonts w:asciiTheme="minorHAnsi" w:hAnsiTheme="minorHAnsi" w:cstheme="minorBidi"/>
          <w:color w:val="0070C0"/>
          <w:sz w:val="28"/>
          <w:szCs w:val="28"/>
        </w:rPr>
        <w:t>Total budgeted cost:</w:t>
      </w:r>
      <w:r w:rsidR="1905EDE8" w:rsidRPr="4F80CB3B">
        <w:rPr>
          <w:rFonts w:asciiTheme="minorHAnsi" w:hAnsiTheme="minorHAnsi" w:cstheme="minorBidi"/>
          <w:color w:val="0070C0"/>
          <w:sz w:val="28"/>
          <w:szCs w:val="28"/>
        </w:rPr>
        <w:t xml:space="preserve"> TBC</w:t>
      </w:r>
    </w:p>
    <w:p w14:paraId="2A7D5541" w14:textId="7477B439" w:rsidR="00E66558" w:rsidRDefault="00E66558" w:rsidP="6E277A2C">
      <w:pPr>
        <w:rPr>
          <w:b/>
          <w:bCs/>
          <w:color w:val="0D0D0D" w:themeColor="text1" w:themeTint="F2"/>
        </w:rPr>
      </w:pPr>
    </w:p>
    <w:p w14:paraId="7CA33583" w14:textId="715D98E2" w:rsidR="4F80CB3B" w:rsidRDefault="4F80CB3B" w:rsidP="4F80CB3B">
      <w:pPr>
        <w:pStyle w:val="Heading1"/>
      </w:pP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25C2CA3" w14:textId="005EA0C7" w:rsidR="002E4286" w:rsidRDefault="009D71E8" w:rsidP="002E4286">
      <w:r>
        <w:t>This details the impact that our pupil premium activity had on pupils in the 202</w:t>
      </w:r>
      <w:r w:rsidR="0EAD19F6">
        <w:t>2</w:t>
      </w:r>
      <w:r>
        <w:t xml:space="preserve"> to 202</w:t>
      </w:r>
      <w:r w:rsidR="5B88CEDF">
        <w:t xml:space="preserve">3 </w:t>
      </w:r>
      <w:r>
        <w:t xml:space="preserve">academic year. </w:t>
      </w:r>
      <w:r w:rsidR="4BDBFB03">
        <w:t>To be reviewed January 2024</w:t>
      </w:r>
    </w:p>
    <w:tbl>
      <w:tblPr>
        <w:tblW w:w="5000" w:type="pct"/>
        <w:tblCellMar>
          <w:left w:w="10" w:type="dxa"/>
          <w:right w:w="10" w:type="dxa"/>
        </w:tblCellMar>
        <w:tblLook w:val="04A0" w:firstRow="1" w:lastRow="0" w:firstColumn="1" w:lastColumn="0" w:noHBand="0" w:noVBand="1"/>
      </w:tblPr>
      <w:tblGrid>
        <w:gridCol w:w="2367"/>
        <w:gridCol w:w="4451"/>
        <w:gridCol w:w="3638"/>
      </w:tblGrid>
      <w:tr w:rsidR="002E4286" w14:paraId="47487662" w14:textId="4039E6DA" w:rsidTr="4F80CB3B">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1508881E" w14:textId="77777777" w:rsidR="002E4286" w:rsidRDefault="002E4286" w:rsidP="00EF27C5">
            <w:pPr>
              <w:pStyle w:val="TableHeader"/>
              <w:jc w:val="left"/>
            </w:pPr>
            <w:r>
              <w:t>Intended outcome</w:t>
            </w:r>
          </w:p>
        </w:tc>
        <w:tc>
          <w:tcPr>
            <w:tcW w:w="4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035AA3BF" w14:textId="77777777" w:rsidR="002E4286" w:rsidRDefault="002E4286" w:rsidP="00EF27C5">
            <w:pPr>
              <w:pStyle w:val="TableHeader"/>
              <w:jc w:val="left"/>
            </w:pPr>
            <w:r>
              <w:t>Success criteria</w:t>
            </w:r>
          </w:p>
        </w:tc>
        <w:tc>
          <w:tcPr>
            <w:tcW w:w="3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Pr>
          <w:p w14:paraId="085A1729" w14:textId="7B73E985" w:rsidR="002E4286" w:rsidRDefault="002E4286" w:rsidP="00EF27C5">
            <w:pPr>
              <w:pStyle w:val="TableHeader"/>
              <w:jc w:val="left"/>
            </w:pPr>
            <w:r>
              <w:t>Evaluation</w:t>
            </w:r>
            <w:r w:rsidR="4D51FF27">
              <w:t xml:space="preserve"> </w:t>
            </w:r>
            <w:r w:rsidR="00437DE2">
              <w:t>December 2023</w:t>
            </w:r>
          </w:p>
        </w:tc>
      </w:tr>
      <w:tr w:rsidR="002E4286" w:rsidRPr="0039453A" w14:paraId="09F22033" w14:textId="03372AD5" w:rsidTr="4F80CB3B">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Mar>
              <w:top w:w="0" w:type="dxa"/>
              <w:left w:w="108" w:type="dxa"/>
              <w:bottom w:w="0" w:type="dxa"/>
              <w:right w:w="108" w:type="dxa"/>
            </w:tcMar>
          </w:tcPr>
          <w:p w14:paraId="41F25695" w14:textId="77777777" w:rsidR="002E4286" w:rsidRPr="0039453A" w:rsidRDefault="002E4286" w:rsidP="00EF27C5">
            <w:pPr>
              <w:pStyle w:val="TableRow"/>
              <w:spacing w:after="120"/>
              <w:rPr>
                <w:rFonts w:cs="Arial"/>
                <w:color w:val="auto"/>
                <w:sz w:val="20"/>
                <w:szCs w:val="20"/>
              </w:rPr>
            </w:pPr>
            <w:r w:rsidRPr="0039453A">
              <w:rPr>
                <w:rFonts w:cs="Arial"/>
                <w:color w:val="auto"/>
                <w:sz w:val="20"/>
                <w:szCs w:val="20"/>
              </w:rPr>
              <w:t xml:space="preserve">Improved oral language skills and vocabulary among disadvantaged pupils. </w:t>
            </w:r>
          </w:p>
        </w:tc>
        <w:tc>
          <w:tcPr>
            <w:tcW w:w="4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BB9ED2" w14:textId="00950971" w:rsidR="002E4286" w:rsidRPr="0039453A" w:rsidRDefault="1D83A99C" w:rsidP="29901215">
            <w:pPr>
              <w:suppressAutoHyphens w:val="0"/>
              <w:autoSpaceDN/>
              <w:spacing w:before="60" w:after="120" w:line="240" w:lineRule="auto"/>
              <w:ind w:left="57" w:right="57"/>
              <w:rPr>
                <w:rFonts w:eastAsia="Arial" w:cs="Arial"/>
                <w:sz w:val="20"/>
                <w:szCs w:val="20"/>
              </w:rPr>
            </w:pPr>
            <w:r w:rsidRPr="29901215">
              <w:rPr>
                <w:rFonts w:eastAsia="Arial" w:cs="Arial"/>
                <w:sz w:val="20"/>
                <w:szCs w:val="20"/>
              </w:rPr>
              <w:t>Assessments and observations indicate significantly improved oral language among disadvantaged pupils. This is evident when triangulated with other sources of evidence, including engagement in lessons, book scrutiny and ongoing formative assessment.</w:t>
            </w:r>
          </w:p>
          <w:p w14:paraId="08F068D3" w14:textId="4E42874B" w:rsidR="002E4286" w:rsidRPr="0039453A" w:rsidRDefault="002E4286" w:rsidP="29901215">
            <w:pPr>
              <w:suppressAutoHyphens w:val="0"/>
              <w:autoSpaceDN/>
              <w:spacing w:before="60" w:after="120" w:line="240" w:lineRule="auto"/>
              <w:ind w:left="57" w:right="57"/>
              <w:rPr>
                <w:rFonts w:cs="Arial"/>
                <w:color w:val="auto"/>
                <w:sz w:val="20"/>
                <w:szCs w:val="20"/>
              </w:rPr>
            </w:pPr>
          </w:p>
        </w:tc>
        <w:tc>
          <w:tcPr>
            <w:tcW w:w="3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6A280C7" w14:textId="5B7D33D1" w:rsidR="0066288A" w:rsidRDefault="00D915E4" w:rsidP="00EF27C5">
            <w:pPr>
              <w:suppressAutoHyphens w:val="0"/>
              <w:autoSpaceDN/>
              <w:spacing w:before="60" w:after="120" w:line="240" w:lineRule="auto"/>
              <w:ind w:left="57" w:right="57"/>
              <w:rPr>
                <w:rFonts w:cs="Arial"/>
                <w:color w:val="auto"/>
                <w:sz w:val="20"/>
                <w:szCs w:val="20"/>
              </w:rPr>
            </w:pPr>
            <w:r>
              <w:rPr>
                <w:rFonts w:cs="Arial"/>
                <w:color w:val="auto"/>
                <w:sz w:val="20"/>
                <w:szCs w:val="20"/>
              </w:rPr>
              <w:t xml:space="preserve">Staff development </w:t>
            </w:r>
            <w:r w:rsidR="0066288A">
              <w:rPr>
                <w:rFonts w:cs="Arial"/>
                <w:color w:val="auto"/>
                <w:sz w:val="20"/>
                <w:szCs w:val="20"/>
              </w:rPr>
              <w:t>has</w:t>
            </w:r>
            <w:r w:rsidR="00276B61">
              <w:rPr>
                <w:rFonts w:cs="Arial"/>
                <w:color w:val="auto"/>
                <w:sz w:val="20"/>
                <w:szCs w:val="20"/>
              </w:rPr>
              <w:t xml:space="preserve"> focus</w:t>
            </w:r>
            <w:r w:rsidR="0066288A">
              <w:rPr>
                <w:rFonts w:cs="Arial"/>
                <w:color w:val="auto"/>
                <w:sz w:val="20"/>
                <w:szCs w:val="20"/>
              </w:rPr>
              <w:t xml:space="preserve">sed </w:t>
            </w:r>
            <w:r w:rsidR="00276B61">
              <w:rPr>
                <w:rFonts w:cs="Arial"/>
                <w:color w:val="auto"/>
                <w:sz w:val="20"/>
                <w:szCs w:val="20"/>
              </w:rPr>
              <w:t xml:space="preserve">on </w:t>
            </w:r>
            <w:r w:rsidR="00B2335D">
              <w:rPr>
                <w:rFonts w:cs="Arial"/>
                <w:color w:val="auto"/>
                <w:sz w:val="20"/>
                <w:szCs w:val="20"/>
              </w:rPr>
              <w:t>high-quality</w:t>
            </w:r>
            <w:r w:rsidR="00276B61">
              <w:rPr>
                <w:rFonts w:cs="Arial"/>
                <w:color w:val="auto"/>
                <w:sz w:val="20"/>
                <w:szCs w:val="20"/>
              </w:rPr>
              <w:t xml:space="preserve"> language for pupils</w:t>
            </w:r>
            <w:r w:rsidR="0014509A">
              <w:rPr>
                <w:rFonts w:cs="Arial"/>
                <w:color w:val="auto"/>
                <w:sz w:val="20"/>
                <w:szCs w:val="20"/>
              </w:rPr>
              <w:t xml:space="preserve"> across the curriculum</w:t>
            </w:r>
            <w:r w:rsidR="009A7B4B">
              <w:rPr>
                <w:rFonts w:cs="Arial"/>
                <w:color w:val="auto"/>
                <w:sz w:val="20"/>
                <w:szCs w:val="20"/>
              </w:rPr>
              <w:t xml:space="preserve">. </w:t>
            </w:r>
          </w:p>
          <w:p w14:paraId="26103677" w14:textId="7228E089" w:rsidR="002E4286" w:rsidRDefault="009A7B4B" w:rsidP="00EF27C5">
            <w:pPr>
              <w:suppressAutoHyphens w:val="0"/>
              <w:autoSpaceDN/>
              <w:spacing w:before="60" w:after="120" w:line="240" w:lineRule="auto"/>
              <w:ind w:left="57" w:right="57"/>
              <w:rPr>
                <w:rFonts w:cs="Arial"/>
                <w:color w:val="auto"/>
                <w:sz w:val="20"/>
                <w:szCs w:val="20"/>
              </w:rPr>
            </w:pPr>
            <w:r>
              <w:rPr>
                <w:rFonts w:cs="Arial"/>
                <w:color w:val="auto"/>
                <w:sz w:val="20"/>
                <w:szCs w:val="20"/>
              </w:rPr>
              <w:t xml:space="preserve">The implementation of PKC curriculum has </w:t>
            </w:r>
            <w:r w:rsidR="00B2335D">
              <w:rPr>
                <w:rFonts w:cs="Arial"/>
                <w:color w:val="auto"/>
                <w:sz w:val="20"/>
                <w:szCs w:val="20"/>
              </w:rPr>
              <w:t>increased expectations of language through explicitly taught</w:t>
            </w:r>
            <w:r w:rsidR="0066288A">
              <w:rPr>
                <w:rFonts w:cs="Arial"/>
                <w:color w:val="auto"/>
                <w:sz w:val="20"/>
                <w:szCs w:val="20"/>
              </w:rPr>
              <w:t xml:space="preserve"> vocabulary and the application both in oral and written work. </w:t>
            </w:r>
            <w:r w:rsidR="0014509A">
              <w:rPr>
                <w:rFonts w:cs="Arial"/>
                <w:color w:val="auto"/>
                <w:sz w:val="20"/>
                <w:szCs w:val="20"/>
              </w:rPr>
              <w:t>C</w:t>
            </w:r>
          </w:p>
          <w:p w14:paraId="5EF377DD" w14:textId="3EB47264" w:rsidR="0014509A" w:rsidRDefault="0014509A" w:rsidP="001563FC">
            <w:pPr>
              <w:suppressAutoHyphens w:val="0"/>
              <w:autoSpaceDN/>
              <w:spacing w:before="60" w:after="120" w:line="240" w:lineRule="auto"/>
              <w:ind w:right="57"/>
              <w:rPr>
                <w:rFonts w:cs="Arial"/>
                <w:color w:val="auto"/>
                <w:sz w:val="20"/>
                <w:szCs w:val="20"/>
              </w:rPr>
            </w:pPr>
            <w:r>
              <w:rPr>
                <w:rFonts w:cs="Arial"/>
                <w:color w:val="auto"/>
                <w:sz w:val="20"/>
                <w:szCs w:val="20"/>
              </w:rPr>
              <w:t xml:space="preserve">Talk for Writing whole school CPD and implementation </w:t>
            </w:r>
            <w:r w:rsidR="00CF2A82">
              <w:rPr>
                <w:rFonts w:cs="Arial"/>
                <w:color w:val="auto"/>
                <w:sz w:val="20"/>
                <w:szCs w:val="20"/>
              </w:rPr>
              <w:t xml:space="preserve">drives </w:t>
            </w:r>
            <w:r w:rsidR="00F10A47">
              <w:rPr>
                <w:rFonts w:cs="Arial"/>
                <w:color w:val="auto"/>
                <w:sz w:val="20"/>
                <w:szCs w:val="20"/>
              </w:rPr>
              <w:t>vocabulary</w:t>
            </w:r>
            <w:r w:rsidR="00502C68">
              <w:rPr>
                <w:rFonts w:cs="Arial"/>
                <w:color w:val="auto"/>
                <w:sz w:val="20"/>
                <w:szCs w:val="20"/>
              </w:rPr>
              <w:t xml:space="preserve"> development for pupils. </w:t>
            </w:r>
          </w:p>
          <w:p w14:paraId="0ECCFBA9" w14:textId="4EF5CC5C" w:rsidR="001563FC" w:rsidRDefault="001563FC" w:rsidP="001563FC">
            <w:pPr>
              <w:suppressAutoHyphens w:val="0"/>
              <w:autoSpaceDN/>
              <w:spacing w:before="60" w:after="120" w:line="240" w:lineRule="auto"/>
              <w:ind w:right="57"/>
              <w:rPr>
                <w:rFonts w:cs="Arial"/>
                <w:color w:val="auto"/>
                <w:sz w:val="20"/>
                <w:szCs w:val="20"/>
              </w:rPr>
            </w:pPr>
            <w:proofErr w:type="spellStart"/>
            <w:r>
              <w:rPr>
                <w:rFonts w:cs="Arial"/>
                <w:color w:val="auto"/>
                <w:sz w:val="20"/>
                <w:szCs w:val="20"/>
              </w:rPr>
              <w:t>Wellcomm</w:t>
            </w:r>
            <w:proofErr w:type="spellEnd"/>
            <w:r>
              <w:rPr>
                <w:rFonts w:cs="Arial"/>
                <w:color w:val="auto"/>
                <w:sz w:val="20"/>
                <w:szCs w:val="20"/>
              </w:rPr>
              <w:t xml:space="preserve"> has been introduced in Autumn term 2023. </w:t>
            </w:r>
          </w:p>
          <w:p w14:paraId="7672E3EC" w14:textId="7F8BB48C" w:rsidR="00D915E4" w:rsidRPr="0039453A" w:rsidRDefault="00D42674" w:rsidP="00D42674">
            <w:pPr>
              <w:suppressAutoHyphens w:val="0"/>
              <w:autoSpaceDN/>
              <w:spacing w:before="60" w:after="120" w:line="240" w:lineRule="auto"/>
              <w:ind w:right="57"/>
              <w:rPr>
                <w:rFonts w:cs="Arial"/>
                <w:color w:val="auto"/>
                <w:sz w:val="20"/>
                <w:szCs w:val="20"/>
              </w:rPr>
            </w:pPr>
            <w:r>
              <w:rPr>
                <w:rFonts w:cs="Arial"/>
                <w:color w:val="auto"/>
                <w:sz w:val="20"/>
                <w:szCs w:val="20"/>
              </w:rPr>
              <w:t xml:space="preserve">Next steps: To embed </w:t>
            </w:r>
            <w:proofErr w:type="spellStart"/>
            <w:r>
              <w:rPr>
                <w:rFonts w:cs="Arial"/>
                <w:color w:val="auto"/>
                <w:sz w:val="20"/>
                <w:szCs w:val="20"/>
              </w:rPr>
              <w:t>Wellcomm</w:t>
            </w:r>
            <w:proofErr w:type="spellEnd"/>
            <w:r>
              <w:rPr>
                <w:rFonts w:cs="Arial"/>
                <w:color w:val="auto"/>
                <w:sz w:val="20"/>
                <w:szCs w:val="20"/>
              </w:rPr>
              <w:t xml:space="preserve"> and monitor the impact. </w:t>
            </w:r>
          </w:p>
        </w:tc>
      </w:tr>
      <w:tr w:rsidR="002E4286" w:rsidRPr="0039453A" w14:paraId="69778CFA" w14:textId="309EDDEF" w:rsidTr="00122E53">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Mar>
              <w:top w:w="0" w:type="dxa"/>
              <w:left w:w="108" w:type="dxa"/>
              <w:bottom w:w="0" w:type="dxa"/>
              <w:right w:w="108" w:type="dxa"/>
            </w:tcMar>
          </w:tcPr>
          <w:p w14:paraId="28CA0B30" w14:textId="77777777" w:rsidR="002E4286" w:rsidRPr="0039453A" w:rsidRDefault="002E4286" w:rsidP="00EF27C5">
            <w:pPr>
              <w:pStyle w:val="TableRow"/>
              <w:spacing w:after="120"/>
              <w:ind w:left="29"/>
              <w:rPr>
                <w:rFonts w:cs="Arial"/>
                <w:color w:val="auto"/>
                <w:sz w:val="20"/>
                <w:szCs w:val="20"/>
              </w:rPr>
            </w:pPr>
            <w:r w:rsidRPr="0039453A">
              <w:rPr>
                <w:rFonts w:cs="Arial"/>
                <w:color w:val="auto"/>
                <w:sz w:val="20"/>
                <w:szCs w:val="20"/>
              </w:rPr>
              <w:t>Improved reading, writing and maths attainment among disadvantaged pupils by the end of KS2.</w:t>
            </w:r>
          </w:p>
        </w:tc>
        <w:tc>
          <w:tcPr>
            <w:tcW w:w="4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57918FDA" w14:textId="7DB1B23E" w:rsidR="002E4286" w:rsidRPr="0039453A" w:rsidRDefault="09E07F71" w:rsidP="29901215">
            <w:pPr>
              <w:pStyle w:val="TableRowCentered"/>
              <w:spacing w:after="120"/>
              <w:jc w:val="left"/>
            </w:pPr>
            <w:r w:rsidRPr="29901215">
              <w:rPr>
                <w:rFonts w:eastAsia="Arial" w:cs="Arial"/>
                <w:sz w:val="20"/>
              </w:rPr>
              <w:t>KS2 outcomes in 2024/25 show that disadvantaged pupils achieve (at least) national progress and attainment scores.</w:t>
            </w:r>
          </w:p>
          <w:p w14:paraId="2D030F88" w14:textId="336BB3AE" w:rsidR="002E4286" w:rsidRPr="0039453A" w:rsidRDefault="002E4286" w:rsidP="29901215">
            <w:pPr>
              <w:pStyle w:val="TableRowCentered"/>
              <w:spacing w:after="120"/>
              <w:jc w:val="left"/>
              <w:rPr>
                <w:rFonts w:cs="Arial"/>
                <w:color w:val="auto"/>
                <w:sz w:val="20"/>
                <w:lang w:eastAsia="en-US"/>
              </w:rPr>
            </w:pPr>
          </w:p>
        </w:tc>
        <w:tc>
          <w:tcPr>
            <w:tcW w:w="3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E750879" w14:textId="77777777" w:rsidR="002E4286" w:rsidRDefault="00DE0F21" w:rsidP="00EF27C5">
            <w:pPr>
              <w:pStyle w:val="TableRowCentered"/>
              <w:spacing w:after="120"/>
              <w:jc w:val="left"/>
              <w:rPr>
                <w:rFonts w:cs="Arial"/>
                <w:color w:val="auto"/>
                <w:sz w:val="20"/>
              </w:rPr>
            </w:pPr>
            <w:r>
              <w:rPr>
                <w:rFonts w:cs="Arial"/>
                <w:color w:val="auto"/>
                <w:sz w:val="20"/>
              </w:rPr>
              <w:t>School have focussed on increasing consistency through st</w:t>
            </w:r>
            <w:r w:rsidR="008428A8">
              <w:rPr>
                <w:rFonts w:cs="Arial"/>
                <w:color w:val="auto"/>
                <w:sz w:val="20"/>
              </w:rPr>
              <w:t>aff development</w:t>
            </w:r>
            <w:r w:rsidR="00D63405">
              <w:rPr>
                <w:rFonts w:cs="Arial"/>
                <w:color w:val="auto"/>
                <w:sz w:val="20"/>
              </w:rPr>
              <w:t xml:space="preserve"> and ongoing CPD</w:t>
            </w:r>
            <w:r w:rsidR="00BC5F4F">
              <w:rPr>
                <w:rFonts w:cs="Arial"/>
                <w:color w:val="auto"/>
                <w:sz w:val="20"/>
              </w:rPr>
              <w:t xml:space="preserve"> that includes coaching and mentoring. </w:t>
            </w:r>
          </w:p>
          <w:p w14:paraId="59B4D458" w14:textId="7CB21F75" w:rsidR="00BC5F4F" w:rsidRPr="0039453A" w:rsidRDefault="00BC5F4F" w:rsidP="00EF27C5">
            <w:pPr>
              <w:pStyle w:val="TableRowCentered"/>
              <w:spacing w:after="120"/>
              <w:jc w:val="left"/>
              <w:rPr>
                <w:rFonts w:cs="Arial"/>
                <w:color w:val="auto"/>
                <w:sz w:val="20"/>
              </w:rPr>
            </w:pPr>
            <w:r>
              <w:rPr>
                <w:rFonts w:cs="Arial"/>
                <w:color w:val="auto"/>
                <w:sz w:val="20"/>
              </w:rPr>
              <w:t>Consistent additional tutoring has been used to</w:t>
            </w:r>
            <w:r w:rsidR="0064013B">
              <w:rPr>
                <w:rFonts w:cs="Arial"/>
                <w:color w:val="auto"/>
                <w:sz w:val="20"/>
              </w:rPr>
              <w:t xml:space="preserve"> support the teaching of reading, writing and maths in KS2. </w:t>
            </w:r>
          </w:p>
        </w:tc>
      </w:tr>
      <w:tr w:rsidR="002E4286" w:rsidRPr="0039453A" w14:paraId="3F36C0CD" w14:textId="0943087E" w:rsidTr="00887D95">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Mar>
              <w:top w:w="0" w:type="dxa"/>
              <w:left w:w="108" w:type="dxa"/>
              <w:bottom w:w="0" w:type="dxa"/>
              <w:right w:w="108" w:type="dxa"/>
            </w:tcMar>
          </w:tcPr>
          <w:p w14:paraId="2A6831FB" w14:textId="77777777" w:rsidR="002E4286" w:rsidRPr="0039453A" w:rsidRDefault="002E4286" w:rsidP="00EF27C5">
            <w:pPr>
              <w:pStyle w:val="TableRow"/>
              <w:spacing w:after="120"/>
              <w:ind w:left="29"/>
              <w:rPr>
                <w:rFonts w:cs="Arial"/>
                <w:color w:val="auto"/>
                <w:sz w:val="20"/>
                <w:szCs w:val="20"/>
              </w:rPr>
            </w:pPr>
            <w:r>
              <w:rPr>
                <w:rFonts w:cs="Arial"/>
                <w:color w:val="auto"/>
                <w:sz w:val="20"/>
                <w:szCs w:val="20"/>
              </w:rPr>
              <w:t>Improved PSC outcomes by the end of Y1.</w:t>
            </w:r>
          </w:p>
        </w:tc>
        <w:tc>
          <w:tcPr>
            <w:tcW w:w="4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4AE9A2" w14:textId="2B69284F" w:rsidR="002E4286" w:rsidRPr="0039453A" w:rsidRDefault="320A03E3" w:rsidP="29901215">
            <w:pPr>
              <w:pStyle w:val="TableRowCentered"/>
              <w:spacing w:after="120"/>
              <w:jc w:val="left"/>
            </w:pPr>
            <w:r w:rsidRPr="29901215">
              <w:rPr>
                <w:rFonts w:eastAsia="Arial" w:cs="Arial"/>
                <w:sz w:val="20"/>
              </w:rPr>
              <w:t>PSC outcomes in 2024/25 show that disadvantaged pupils achieve (at least) national attainment scores and differences between other pupils are diminished.</w:t>
            </w:r>
          </w:p>
          <w:p w14:paraId="7A5237E2" w14:textId="31782C70" w:rsidR="002E4286" w:rsidRPr="0039453A" w:rsidRDefault="002E4286" w:rsidP="29901215">
            <w:pPr>
              <w:pStyle w:val="TableRowCentered"/>
              <w:spacing w:after="120"/>
              <w:jc w:val="left"/>
              <w:rPr>
                <w:rFonts w:cs="Arial"/>
                <w:color w:val="auto"/>
                <w:sz w:val="20"/>
                <w:lang w:eastAsia="en-US"/>
              </w:rPr>
            </w:pPr>
          </w:p>
        </w:tc>
        <w:tc>
          <w:tcPr>
            <w:tcW w:w="3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0E9F4" w14:textId="77777777" w:rsidR="002E4286" w:rsidRDefault="00671A9A" w:rsidP="00EF27C5">
            <w:pPr>
              <w:pStyle w:val="TableRowCentered"/>
              <w:spacing w:after="120"/>
              <w:jc w:val="left"/>
              <w:rPr>
                <w:rFonts w:cs="Arial"/>
                <w:color w:val="auto"/>
                <w:sz w:val="20"/>
              </w:rPr>
            </w:pPr>
            <w:r>
              <w:rPr>
                <w:rFonts w:cs="Arial"/>
                <w:color w:val="auto"/>
                <w:sz w:val="20"/>
              </w:rPr>
              <w:t>A continued focus on coaching for staff</w:t>
            </w:r>
            <w:r w:rsidR="00B7189E">
              <w:rPr>
                <w:rFonts w:cs="Arial"/>
                <w:color w:val="auto"/>
                <w:sz w:val="20"/>
              </w:rPr>
              <w:t xml:space="preserve">. </w:t>
            </w:r>
          </w:p>
          <w:p w14:paraId="6921678C" w14:textId="77777777" w:rsidR="00944156" w:rsidRDefault="00944156" w:rsidP="00EF27C5">
            <w:pPr>
              <w:pStyle w:val="TableRowCentered"/>
              <w:spacing w:after="120"/>
              <w:jc w:val="left"/>
              <w:rPr>
                <w:rFonts w:cs="Arial"/>
                <w:color w:val="auto"/>
                <w:sz w:val="20"/>
              </w:rPr>
            </w:pPr>
            <w:r>
              <w:rPr>
                <w:rFonts w:cs="Arial"/>
                <w:color w:val="auto"/>
                <w:sz w:val="20"/>
              </w:rPr>
              <w:t xml:space="preserve">Fast track tutoring </w:t>
            </w:r>
            <w:r w:rsidR="008233EA">
              <w:rPr>
                <w:rFonts w:cs="Arial"/>
                <w:color w:val="auto"/>
                <w:sz w:val="20"/>
              </w:rPr>
              <w:t xml:space="preserve">for target 20% of pupils. </w:t>
            </w:r>
          </w:p>
          <w:p w14:paraId="6BA9790D" w14:textId="63836EAC" w:rsidR="008233EA" w:rsidRDefault="003528AF" w:rsidP="00EF27C5">
            <w:pPr>
              <w:pStyle w:val="TableRowCentered"/>
              <w:spacing w:after="120"/>
              <w:jc w:val="left"/>
              <w:rPr>
                <w:rFonts w:cs="Arial"/>
                <w:color w:val="auto"/>
                <w:sz w:val="20"/>
              </w:rPr>
            </w:pPr>
            <w:r>
              <w:rPr>
                <w:rFonts w:cs="Arial"/>
                <w:color w:val="auto"/>
                <w:sz w:val="20"/>
              </w:rPr>
              <w:t xml:space="preserve">Differences are diminishing between </w:t>
            </w:r>
            <w:r w:rsidR="006A1320">
              <w:rPr>
                <w:rFonts w:cs="Arial"/>
                <w:color w:val="auto"/>
                <w:sz w:val="20"/>
              </w:rPr>
              <w:t>groups of PP/</w:t>
            </w:r>
            <w:proofErr w:type="gramStart"/>
            <w:r w:rsidR="006A1320">
              <w:rPr>
                <w:rFonts w:cs="Arial"/>
                <w:color w:val="auto"/>
                <w:sz w:val="20"/>
              </w:rPr>
              <w:t>Non PP.</w:t>
            </w:r>
            <w:proofErr w:type="gramEnd"/>
            <w:r w:rsidR="006A1320">
              <w:rPr>
                <w:rFonts w:cs="Arial"/>
                <w:color w:val="auto"/>
                <w:sz w:val="20"/>
              </w:rPr>
              <w:t xml:space="preserve"> </w:t>
            </w:r>
          </w:p>
        </w:tc>
      </w:tr>
      <w:tr w:rsidR="002E4286" w:rsidRPr="0039453A" w14:paraId="3EC22E6E" w14:textId="5F95D92A" w:rsidTr="4F80CB3B">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Mar>
              <w:top w:w="0" w:type="dxa"/>
              <w:left w:w="108" w:type="dxa"/>
              <w:bottom w:w="0" w:type="dxa"/>
              <w:right w:w="108" w:type="dxa"/>
            </w:tcMar>
          </w:tcPr>
          <w:p w14:paraId="328F614C" w14:textId="77777777" w:rsidR="002E4286" w:rsidRPr="0039453A" w:rsidRDefault="002E4286" w:rsidP="00EF27C5">
            <w:pPr>
              <w:spacing w:before="60" w:line="240" w:lineRule="auto"/>
              <w:ind w:left="29"/>
              <w:rPr>
                <w:rFonts w:cs="Arial"/>
                <w:color w:val="auto"/>
                <w:sz w:val="20"/>
                <w:szCs w:val="20"/>
              </w:rPr>
            </w:pPr>
            <w:r w:rsidRPr="0039453A">
              <w:rPr>
                <w:rFonts w:cs="Arial"/>
                <w:color w:val="auto"/>
                <w:sz w:val="20"/>
                <w:szCs w:val="20"/>
              </w:rPr>
              <w:t>To achieve and sustain improved wellbeing for all pupils in our school, particularly our disadvantaged pupils.</w:t>
            </w:r>
          </w:p>
        </w:tc>
        <w:tc>
          <w:tcPr>
            <w:tcW w:w="4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E45A62" w14:textId="0C496B4C" w:rsidR="002E4286" w:rsidRPr="0039453A" w:rsidRDefault="23EA4000" w:rsidP="29901215">
            <w:pPr>
              <w:suppressAutoHyphens w:val="0"/>
              <w:autoSpaceDN/>
              <w:spacing w:before="60" w:after="60" w:line="240" w:lineRule="auto"/>
              <w:ind w:left="34" w:right="57"/>
              <w:rPr>
                <w:rFonts w:eastAsia="Arial" w:cs="Arial"/>
                <w:color w:val="0D0D0D" w:themeColor="text1" w:themeTint="F2"/>
                <w:sz w:val="20"/>
                <w:szCs w:val="20"/>
              </w:rPr>
            </w:pPr>
            <w:r w:rsidRPr="29901215">
              <w:rPr>
                <w:rFonts w:eastAsia="Arial" w:cs="Arial"/>
                <w:color w:val="0D0D0D" w:themeColor="text1" w:themeTint="F2"/>
                <w:sz w:val="20"/>
                <w:szCs w:val="20"/>
              </w:rPr>
              <w:t>Sustained high levels of wellbeing from 2024/25 demonstrated by:</w:t>
            </w:r>
          </w:p>
          <w:p w14:paraId="7E65A278" w14:textId="09AF51C1" w:rsidR="002E4286" w:rsidRPr="0039453A" w:rsidRDefault="23EA4000" w:rsidP="29901215">
            <w:pPr>
              <w:pStyle w:val="ListParagraph"/>
              <w:numPr>
                <w:ilvl w:val="0"/>
                <w:numId w:val="5"/>
              </w:numPr>
              <w:suppressAutoHyphens w:val="0"/>
              <w:autoSpaceDN/>
              <w:spacing w:before="60" w:after="120" w:line="240" w:lineRule="auto"/>
              <w:ind w:right="57" w:hanging="357"/>
              <w:rPr>
                <w:rFonts w:eastAsia="Arial" w:cs="Arial"/>
                <w:color w:val="0D0D0D" w:themeColor="text1" w:themeTint="F2"/>
                <w:sz w:val="20"/>
                <w:szCs w:val="20"/>
              </w:rPr>
            </w:pPr>
            <w:r w:rsidRPr="29901215">
              <w:rPr>
                <w:rFonts w:eastAsia="Arial" w:cs="Arial"/>
                <w:color w:val="0D0D0D" w:themeColor="text1" w:themeTint="F2"/>
                <w:sz w:val="20"/>
                <w:szCs w:val="20"/>
              </w:rPr>
              <w:t>qualitative data from student voice, student and parent surveys and teacher observations</w:t>
            </w:r>
          </w:p>
          <w:p w14:paraId="701E1EEB" w14:textId="54CC8A01" w:rsidR="002E4286" w:rsidRPr="0039453A" w:rsidRDefault="23EA4000" w:rsidP="29901215">
            <w:pPr>
              <w:pStyle w:val="ListParagraph"/>
              <w:numPr>
                <w:ilvl w:val="0"/>
                <w:numId w:val="5"/>
              </w:numPr>
              <w:suppressAutoHyphens w:val="0"/>
              <w:autoSpaceDN/>
              <w:spacing w:before="60" w:after="120" w:line="240" w:lineRule="auto"/>
              <w:ind w:right="57" w:hanging="357"/>
              <w:rPr>
                <w:rFonts w:eastAsia="Arial" w:cs="Arial"/>
                <w:color w:val="0D0D0D" w:themeColor="text1" w:themeTint="F2"/>
                <w:sz w:val="20"/>
                <w:szCs w:val="20"/>
              </w:rPr>
            </w:pPr>
            <w:r w:rsidRPr="29901215">
              <w:rPr>
                <w:rFonts w:eastAsia="Arial" w:cs="Arial"/>
                <w:color w:val="0D0D0D" w:themeColor="text1" w:themeTint="F2"/>
                <w:sz w:val="20"/>
                <w:szCs w:val="20"/>
              </w:rPr>
              <w:t>Emotion coaching reflective logs as completed by all staff.</w:t>
            </w:r>
          </w:p>
          <w:p w14:paraId="311CF3D0" w14:textId="631CFC64" w:rsidR="002E4286" w:rsidRPr="0039453A" w:rsidRDefault="23EA4000" w:rsidP="29901215">
            <w:pPr>
              <w:pStyle w:val="ListParagraph"/>
              <w:numPr>
                <w:ilvl w:val="0"/>
                <w:numId w:val="5"/>
              </w:numPr>
              <w:suppressAutoHyphens w:val="0"/>
              <w:autoSpaceDN/>
              <w:spacing w:before="60" w:after="120" w:line="240" w:lineRule="auto"/>
              <w:ind w:right="57" w:hanging="357"/>
              <w:rPr>
                <w:rFonts w:eastAsia="Arial" w:cs="Arial"/>
                <w:color w:val="0D0D0D" w:themeColor="text1" w:themeTint="F2"/>
                <w:sz w:val="20"/>
                <w:szCs w:val="20"/>
              </w:rPr>
            </w:pPr>
            <w:r w:rsidRPr="29901215">
              <w:rPr>
                <w:rFonts w:eastAsia="Arial" w:cs="Arial"/>
                <w:color w:val="0D0D0D" w:themeColor="text1" w:themeTint="F2"/>
                <w:sz w:val="20"/>
                <w:szCs w:val="20"/>
              </w:rPr>
              <w:t>A reduction of incident logs on CPOMS.</w:t>
            </w:r>
          </w:p>
        </w:tc>
        <w:tc>
          <w:tcPr>
            <w:tcW w:w="3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B1DB0C" w14:textId="77777777" w:rsidR="00944C54" w:rsidRDefault="00B21192" w:rsidP="00EF27C5">
            <w:pPr>
              <w:suppressAutoHyphens w:val="0"/>
              <w:autoSpaceDN/>
              <w:spacing w:before="60" w:after="60" w:line="240" w:lineRule="auto"/>
              <w:ind w:left="34" w:right="57"/>
              <w:rPr>
                <w:rFonts w:cs="Arial"/>
                <w:color w:val="auto"/>
                <w:sz w:val="20"/>
                <w:szCs w:val="20"/>
              </w:rPr>
            </w:pPr>
            <w:r>
              <w:rPr>
                <w:rFonts w:cs="Arial"/>
                <w:color w:val="auto"/>
                <w:sz w:val="20"/>
                <w:szCs w:val="20"/>
              </w:rPr>
              <w:t xml:space="preserve">ELSA interventions are used to support children with their mental health and wellbeing. </w:t>
            </w:r>
          </w:p>
          <w:p w14:paraId="590FB0E0" w14:textId="1614C8E9" w:rsidR="00722AB0" w:rsidRDefault="00722AB0" w:rsidP="00EF27C5">
            <w:pPr>
              <w:suppressAutoHyphens w:val="0"/>
              <w:autoSpaceDN/>
              <w:spacing w:before="60" w:after="60" w:line="240" w:lineRule="auto"/>
              <w:ind w:left="34" w:right="57"/>
              <w:rPr>
                <w:rFonts w:cs="Arial"/>
                <w:color w:val="auto"/>
                <w:sz w:val="20"/>
                <w:szCs w:val="20"/>
              </w:rPr>
            </w:pPr>
            <w:r>
              <w:rPr>
                <w:rFonts w:cs="Arial"/>
                <w:color w:val="auto"/>
                <w:sz w:val="20"/>
                <w:szCs w:val="20"/>
              </w:rPr>
              <w:t xml:space="preserve">The NEST sensory room is used to support identified pupils, including lunchtime support. </w:t>
            </w:r>
          </w:p>
          <w:p w14:paraId="0DDA00F7" w14:textId="75594090" w:rsidR="007263BD" w:rsidRDefault="007263BD" w:rsidP="00EF27C5">
            <w:pPr>
              <w:suppressAutoHyphens w:val="0"/>
              <w:autoSpaceDN/>
              <w:spacing w:before="60" w:after="60" w:line="240" w:lineRule="auto"/>
              <w:ind w:left="34" w:right="57"/>
              <w:rPr>
                <w:rFonts w:cs="Arial"/>
                <w:color w:val="auto"/>
                <w:sz w:val="20"/>
                <w:szCs w:val="20"/>
              </w:rPr>
            </w:pPr>
            <w:r>
              <w:rPr>
                <w:rFonts w:cs="Arial"/>
                <w:color w:val="auto"/>
                <w:sz w:val="20"/>
                <w:szCs w:val="20"/>
              </w:rPr>
              <w:t>Referrals to external agencies</w:t>
            </w:r>
            <w:r w:rsidR="00791478">
              <w:rPr>
                <w:rFonts w:cs="Arial"/>
                <w:color w:val="auto"/>
                <w:sz w:val="20"/>
                <w:szCs w:val="20"/>
              </w:rPr>
              <w:t>, including EMHT,</w:t>
            </w:r>
            <w:r>
              <w:rPr>
                <w:rFonts w:cs="Arial"/>
                <w:color w:val="auto"/>
                <w:sz w:val="20"/>
                <w:szCs w:val="20"/>
              </w:rPr>
              <w:t xml:space="preserve"> </w:t>
            </w:r>
            <w:r w:rsidR="00791478">
              <w:rPr>
                <w:rFonts w:cs="Arial"/>
                <w:color w:val="auto"/>
                <w:sz w:val="20"/>
                <w:szCs w:val="20"/>
              </w:rPr>
              <w:t xml:space="preserve">completed by the Inclusion Manager to support child and family wellbeing. </w:t>
            </w:r>
          </w:p>
          <w:p w14:paraId="53075A07" w14:textId="019E7D14" w:rsidR="00675097" w:rsidRDefault="00675097" w:rsidP="00EF27C5">
            <w:pPr>
              <w:suppressAutoHyphens w:val="0"/>
              <w:autoSpaceDN/>
              <w:spacing w:before="60" w:after="60" w:line="240" w:lineRule="auto"/>
              <w:ind w:left="34" w:right="57"/>
              <w:rPr>
                <w:rFonts w:cs="Arial"/>
                <w:color w:val="auto"/>
                <w:sz w:val="20"/>
                <w:szCs w:val="20"/>
              </w:rPr>
            </w:pPr>
            <w:r>
              <w:rPr>
                <w:rFonts w:cs="Arial"/>
                <w:color w:val="auto"/>
                <w:sz w:val="20"/>
                <w:szCs w:val="20"/>
              </w:rPr>
              <w:t>Protective behaviours CPD for all staff</w:t>
            </w:r>
            <w:r w:rsidR="003F371C">
              <w:rPr>
                <w:rFonts w:cs="Arial"/>
                <w:color w:val="auto"/>
                <w:sz w:val="20"/>
                <w:szCs w:val="20"/>
              </w:rPr>
              <w:t xml:space="preserve">. </w:t>
            </w:r>
          </w:p>
          <w:p w14:paraId="4FDC8FDE" w14:textId="77777777" w:rsidR="003F371C" w:rsidRDefault="003F371C" w:rsidP="00EF27C5">
            <w:pPr>
              <w:suppressAutoHyphens w:val="0"/>
              <w:autoSpaceDN/>
              <w:spacing w:before="60" w:after="60" w:line="240" w:lineRule="auto"/>
              <w:ind w:left="34" w:right="57"/>
              <w:rPr>
                <w:rFonts w:cs="Arial"/>
                <w:color w:val="auto"/>
                <w:sz w:val="20"/>
                <w:szCs w:val="20"/>
              </w:rPr>
            </w:pPr>
          </w:p>
          <w:p w14:paraId="12B8FA66" w14:textId="7C0EBC16" w:rsidR="00791478" w:rsidRPr="0039453A" w:rsidRDefault="00791478" w:rsidP="00791478">
            <w:pPr>
              <w:suppressAutoHyphens w:val="0"/>
              <w:autoSpaceDN/>
              <w:spacing w:before="60" w:after="60" w:line="240" w:lineRule="auto"/>
              <w:ind w:right="57"/>
              <w:rPr>
                <w:rFonts w:cs="Arial"/>
                <w:color w:val="auto"/>
                <w:sz w:val="20"/>
                <w:szCs w:val="20"/>
              </w:rPr>
            </w:pPr>
          </w:p>
        </w:tc>
      </w:tr>
      <w:tr w:rsidR="002E4286" w:rsidRPr="0039453A" w14:paraId="1C91C9CA" w14:textId="5D6AE23C" w:rsidTr="4F80CB3B">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Mar>
              <w:top w:w="0" w:type="dxa"/>
              <w:left w:w="108" w:type="dxa"/>
              <w:bottom w:w="0" w:type="dxa"/>
              <w:right w:w="108" w:type="dxa"/>
            </w:tcMar>
          </w:tcPr>
          <w:p w14:paraId="3A7C10D2" w14:textId="77777777" w:rsidR="002E4286" w:rsidRPr="0039453A" w:rsidRDefault="002E4286" w:rsidP="00EF27C5">
            <w:pPr>
              <w:pStyle w:val="TableRow"/>
              <w:ind w:left="29"/>
              <w:rPr>
                <w:rFonts w:cs="Arial"/>
                <w:color w:val="auto"/>
                <w:sz w:val="20"/>
                <w:szCs w:val="20"/>
              </w:rPr>
            </w:pPr>
            <w:r w:rsidRPr="0039453A">
              <w:rPr>
                <w:rFonts w:cs="Arial"/>
                <w:color w:val="auto"/>
                <w:sz w:val="20"/>
                <w:szCs w:val="20"/>
              </w:rPr>
              <w:t xml:space="preserve">To achieve and sustain improved attendance </w:t>
            </w:r>
            <w:r w:rsidRPr="0039453A">
              <w:rPr>
                <w:rFonts w:cs="Arial"/>
                <w:color w:val="auto"/>
                <w:sz w:val="20"/>
                <w:szCs w:val="20"/>
              </w:rPr>
              <w:lastRenderedPageBreak/>
              <w:t>and punctuality for all pupils, particularly our disadvantaged pupils.</w:t>
            </w:r>
          </w:p>
        </w:tc>
        <w:tc>
          <w:tcPr>
            <w:tcW w:w="4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B7DD36" w14:textId="02067E8F" w:rsidR="002E4286" w:rsidRPr="0039453A" w:rsidRDefault="34DC5C67" w:rsidP="29901215">
            <w:pPr>
              <w:suppressAutoHyphens w:val="0"/>
              <w:autoSpaceDN/>
              <w:spacing w:before="60" w:after="60" w:line="240" w:lineRule="auto"/>
              <w:ind w:left="57" w:right="57"/>
              <w:rPr>
                <w:rFonts w:eastAsia="Arial" w:cs="Arial"/>
                <w:color w:val="0D0D0D" w:themeColor="text1" w:themeTint="F2"/>
                <w:sz w:val="20"/>
                <w:szCs w:val="20"/>
              </w:rPr>
            </w:pPr>
            <w:r w:rsidRPr="29901215">
              <w:rPr>
                <w:rFonts w:eastAsia="Arial" w:cs="Arial"/>
                <w:color w:val="0D0D0D" w:themeColor="text1" w:themeTint="F2"/>
                <w:sz w:val="20"/>
                <w:szCs w:val="20"/>
              </w:rPr>
              <w:lastRenderedPageBreak/>
              <w:t>Sustained high attendance from 2024/25 demonstrated by:</w:t>
            </w:r>
          </w:p>
          <w:p w14:paraId="75637097" w14:textId="4D08257E" w:rsidR="002E4286" w:rsidRPr="0039453A" w:rsidRDefault="34DC5C67" w:rsidP="29901215">
            <w:pPr>
              <w:pStyle w:val="ListParagraph"/>
              <w:numPr>
                <w:ilvl w:val="0"/>
                <w:numId w:val="2"/>
              </w:numPr>
              <w:suppressAutoHyphens w:val="0"/>
              <w:autoSpaceDN/>
              <w:spacing w:before="60" w:after="60" w:line="240" w:lineRule="auto"/>
              <w:ind w:right="57"/>
              <w:contextualSpacing w:val="0"/>
              <w:rPr>
                <w:rFonts w:eastAsia="Arial" w:cs="Arial"/>
                <w:color w:val="0D0D0D" w:themeColor="text1" w:themeTint="F2"/>
                <w:sz w:val="20"/>
                <w:szCs w:val="20"/>
              </w:rPr>
            </w:pPr>
            <w:r w:rsidRPr="29901215">
              <w:rPr>
                <w:rFonts w:eastAsia="Arial" w:cs="Arial"/>
                <w:color w:val="0D0D0D" w:themeColor="text1" w:themeTint="F2"/>
                <w:sz w:val="20"/>
                <w:szCs w:val="20"/>
              </w:rPr>
              <w:lastRenderedPageBreak/>
              <w:t xml:space="preserve">The overall absence rate for all pupils being at least in line with national figures. The difference between disadvantaged and non-disadvantaged pupils being diminished. </w:t>
            </w:r>
          </w:p>
          <w:p w14:paraId="16C19C31" w14:textId="63231EA2" w:rsidR="002E4286" w:rsidRPr="0039453A" w:rsidRDefault="34DC5C67" w:rsidP="29901215">
            <w:pPr>
              <w:pStyle w:val="ListParagraph"/>
              <w:numPr>
                <w:ilvl w:val="0"/>
                <w:numId w:val="2"/>
              </w:numPr>
              <w:suppressAutoHyphens w:val="0"/>
              <w:autoSpaceDN/>
              <w:spacing w:after="0" w:line="240" w:lineRule="auto"/>
              <w:contextualSpacing w:val="0"/>
              <w:rPr>
                <w:rFonts w:eastAsia="Arial" w:cs="Arial"/>
                <w:color w:val="0D0D0D" w:themeColor="text1" w:themeTint="F2"/>
                <w:sz w:val="20"/>
                <w:szCs w:val="20"/>
              </w:rPr>
            </w:pPr>
            <w:r w:rsidRPr="29901215">
              <w:rPr>
                <w:rFonts w:eastAsia="Arial" w:cs="Arial"/>
                <w:color w:val="0D0D0D" w:themeColor="text1" w:themeTint="F2"/>
                <w:sz w:val="20"/>
                <w:szCs w:val="20"/>
              </w:rPr>
              <w:t>The percentage of all pupils who are persistently late being reduced and the difference between disadvantaged and non-disadvantaged pupils being reduced</w:t>
            </w:r>
          </w:p>
        </w:tc>
        <w:tc>
          <w:tcPr>
            <w:tcW w:w="3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FAA77" w14:textId="77777777" w:rsidR="002E4286" w:rsidRDefault="00E12DE0" w:rsidP="009852CD">
            <w:pPr>
              <w:suppressAutoHyphens w:val="0"/>
              <w:autoSpaceDN/>
              <w:spacing w:before="60" w:after="60" w:line="240" w:lineRule="auto"/>
              <w:ind w:right="57"/>
              <w:rPr>
                <w:rFonts w:cs="Arial"/>
                <w:color w:val="auto"/>
                <w:sz w:val="20"/>
                <w:szCs w:val="20"/>
              </w:rPr>
            </w:pPr>
            <w:r>
              <w:rPr>
                <w:rFonts w:cs="Arial"/>
                <w:color w:val="auto"/>
                <w:sz w:val="20"/>
                <w:szCs w:val="20"/>
              </w:rPr>
              <w:lastRenderedPageBreak/>
              <w:t xml:space="preserve">Persistent absence 14% in November 2023 (down from 31%) </w:t>
            </w:r>
          </w:p>
          <w:p w14:paraId="704CBCA8" w14:textId="5BD32BC7" w:rsidR="000D2BB7" w:rsidRDefault="000D2BB7" w:rsidP="009852CD">
            <w:pPr>
              <w:suppressAutoHyphens w:val="0"/>
              <w:autoSpaceDN/>
              <w:spacing w:before="60" w:after="60" w:line="240" w:lineRule="auto"/>
              <w:ind w:right="57"/>
              <w:rPr>
                <w:rFonts w:cs="Arial"/>
                <w:color w:val="auto"/>
                <w:sz w:val="20"/>
                <w:szCs w:val="20"/>
              </w:rPr>
            </w:pPr>
            <w:r>
              <w:rPr>
                <w:rFonts w:cs="Arial"/>
                <w:color w:val="auto"/>
                <w:sz w:val="20"/>
                <w:szCs w:val="20"/>
              </w:rPr>
              <w:lastRenderedPageBreak/>
              <w:t xml:space="preserve">Overall absence rate is now below national for </w:t>
            </w:r>
            <w:proofErr w:type="gramStart"/>
            <w:r>
              <w:rPr>
                <w:rFonts w:cs="Arial"/>
                <w:color w:val="auto"/>
                <w:sz w:val="20"/>
                <w:szCs w:val="20"/>
              </w:rPr>
              <w:t>non FSM</w:t>
            </w:r>
            <w:proofErr w:type="gramEnd"/>
            <w:r>
              <w:rPr>
                <w:rFonts w:cs="Arial"/>
                <w:color w:val="auto"/>
                <w:sz w:val="20"/>
                <w:szCs w:val="20"/>
              </w:rPr>
              <w:t xml:space="preserve"> children, FSM children</w:t>
            </w:r>
            <w:r w:rsidR="00BC16A3">
              <w:rPr>
                <w:rFonts w:cs="Arial"/>
                <w:color w:val="auto"/>
                <w:sz w:val="20"/>
                <w:szCs w:val="20"/>
              </w:rPr>
              <w:t>’s</w:t>
            </w:r>
            <w:r>
              <w:rPr>
                <w:rFonts w:cs="Arial"/>
                <w:color w:val="auto"/>
                <w:sz w:val="20"/>
                <w:szCs w:val="20"/>
              </w:rPr>
              <w:t xml:space="preserve"> attendance is improved but is still tracking slightly above national average absence levels at 10%.</w:t>
            </w:r>
            <w:r w:rsidR="0039583C">
              <w:rPr>
                <w:rFonts w:cs="Arial"/>
                <w:color w:val="auto"/>
                <w:sz w:val="20"/>
                <w:szCs w:val="20"/>
              </w:rPr>
              <w:t xml:space="preserve">  Absence rates for children with SEND have also improved but still sit slightly above the national average.  </w:t>
            </w:r>
          </w:p>
          <w:p w14:paraId="1FD33AD5" w14:textId="77777777" w:rsidR="0039583C" w:rsidRDefault="0039583C" w:rsidP="009852CD">
            <w:pPr>
              <w:suppressAutoHyphens w:val="0"/>
              <w:autoSpaceDN/>
              <w:spacing w:before="60" w:after="60" w:line="240" w:lineRule="auto"/>
              <w:ind w:right="57"/>
              <w:rPr>
                <w:rFonts w:cs="Arial"/>
                <w:color w:val="auto"/>
                <w:sz w:val="20"/>
                <w:szCs w:val="20"/>
              </w:rPr>
            </w:pPr>
          </w:p>
          <w:p w14:paraId="68760710" w14:textId="4CF573AB" w:rsidR="00E12DE0" w:rsidRPr="0039453A" w:rsidRDefault="0039583C" w:rsidP="0039583C">
            <w:pPr>
              <w:suppressAutoHyphens w:val="0"/>
              <w:autoSpaceDN/>
              <w:spacing w:before="60" w:after="60" w:line="240" w:lineRule="auto"/>
              <w:ind w:right="57"/>
              <w:rPr>
                <w:rFonts w:cs="Arial"/>
                <w:color w:val="auto"/>
                <w:sz w:val="20"/>
                <w:szCs w:val="20"/>
              </w:rPr>
            </w:pPr>
            <w:r>
              <w:rPr>
                <w:rFonts w:cs="Arial"/>
                <w:color w:val="auto"/>
                <w:sz w:val="20"/>
                <w:szCs w:val="20"/>
              </w:rPr>
              <w:t xml:space="preserve">Weekly whole school attendance is now at around 95% week on week.  </w:t>
            </w:r>
          </w:p>
        </w:tc>
      </w:tr>
    </w:tbl>
    <w:p w14:paraId="6C31C2E0" w14:textId="740BE09A" w:rsidR="4F80CB3B" w:rsidRDefault="4F80CB3B" w:rsidP="4F80CB3B"/>
    <w:p w14:paraId="56F1B6F4" w14:textId="65F2C82E" w:rsidR="4F80CB3B" w:rsidRDefault="4F80CB3B" w:rsidP="4F80CB3B"/>
    <w:p w14:paraId="740532C4" w14:textId="2AD05A47" w:rsidR="4F80CB3B" w:rsidRDefault="4F80CB3B" w:rsidP="4F80CB3B"/>
    <w:p w14:paraId="1A2593CD" w14:textId="690C1289" w:rsidR="4F80CB3B" w:rsidRDefault="4F80CB3B" w:rsidP="4F80CB3B"/>
    <w:p w14:paraId="2A7D5548" w14:textId="4D7F4D53" w:rsidR="00E66558" w:rsidRDefault="009D71E8" w:rsidP="29901215">
      <w:r>
        <w:t xml:space="preserve">Externally provided </w:t>
      </w:r>
      <w:proofErr w:type="gramStart"/>
      <w:r>
        <w:t>programmes</w:t>
      </w:r>
      <w:proofErr w:type="gramEnd"/>
    </w:p>
    <w:p w14:paraId="2A7D5549" w14:textId="77777777" w:rsidR="00E66558" w:rsidRDefault="009D71E8">
      <w:pPr>
        <w:rPr>
          <w:i/>
          <w:iCs/>
        </w:rPr>
      </w:pPr>
      <w:r>
        <w:rPr>
          <w:i/>
          <w:iCs/>
        </w:rPr>
        <w:t xml:space="preserve">Please include the names of any non-DfE programmes that you purchased in the previous academic year. This will help the Department for Education identify which ones are popular in </w:t>
      </w:r>
      <w:proofErr w:type="gramStart"/>
      <w:r>
        <w:rPr>
          <w:i/>
          <w:iCs/>
        </w:rPr>
        <w:t>England</w:t>
      </w:r>
      <w:proofErr w:type="gramEnd"/>
    </w:p>
    <w:tbl>
      <w:tblPr>
        <w:tblW w:w="5000" w:type="pct"/>
        <w:tblCellMar>
          <w:left w:w="10" w:type="dxa"/>
          <w:right w:w="10" w:type="dxa"/>
        </w:tblCellMar>
        <w:tblLook w:val="04A0" w:firstRow="1" w:lastRow="0" w:firstColumn="1" w:lastColumn="0" w:noHBand="0" w:noVBand="1"/>
      </w:tblPr>
      <w:tblGrid>
        <w:gridCol w:w="5307"/>
        <w:gridCol w:w="5149"/>
      </w:tblGrid>
      <w:tr w:rsidR="00E66558" w14:paraId="2A7D554C" w14:textId="77777777" w:rsidTr="29901215">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51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rsidTr="29901215">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4D" w14:textId="0AD1EDBB" w:rsidR="00E66558" w:rsidRDefault="1863D726">
            <w:pPr>
              <w:pStyle w:val="TableRow"/>
            </w:pPr>
            <w:r>
              <w:t xml:space="preserve">Primary Knowledge Curriculum for Science, History, Geography, Art and DT. </w:t>
            </w:r>
          </w:p>
        </w:tc>
        <w:tc>
          <w:tcPr>
            <w:tcW w:w="51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4E" w14:textId="2577DAFA" w:rsidR="00E66558" w:rsidRDefault="1863D726" w:rsidP="29901215">
            <w:pPr>
              <w:pStyle w:val="TableRowCentered"/>
              <w:ind w:left="0"/>
              <w:jc w:val="left"/>
            </w:pPr>
            <w:r>
              <w:t>PKC</w:t>
            </w:r>
          </w:p>
        </w:tc>
      </w:tr>
    </w:tbl>
    <w:p w14:paraId="2A7D5553" w14:textId="371579D7" w:rsidR="00E66558" w:rsidRDefault="009D71E8">
      <w:pPr>
        <w:pStyle w:val="Heading2"/>
        <w:spacing w:before="600"/>
      </w:pPr>
      <w:r>
        <w:t>Service pupil premium funding (optional)</w:t>
      </w:r>
      <w:r w:rsidR="00AF3D2D">
        <w:t>-N/A</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5307"/>
        <w:gridCol w:w="5149"/>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0402E9AB" w:rsidR="00E66558" w:rsidRDefault="00E66558" w:rsidP="00AC62E0">
            <w:pPr>
              <w:pStyle w:val="TableRowCentered"/>
              <w:ind w:left="0"/>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7"/>
    </w:tbl>
    <w:p w14:paraId="2A7D555E" w14:textId="77777777" w:rsidR="00E66558" w:rsidRDefault="00E66558"/>
    <w:p w14:paraId="2A7D555F" w14:textId="77777777" w:rsidR="00E66558" w:rsidRDefault="00E66558">
      <w:pPr>
        <w:spacing w:after="0" w:line="240" w:lineRule="auto"/>
      </w:pPr>
    </w:p>
    <w:bookmarkEnd w:id="14"/>
    <w:bookmarkEnd w:id="15"/>
    <w:bookmarkEnd w:id="16"/>
    <w:sectPr w:rsidR="00E66558" w:rsidSect="009B7C68">
      <w:headerReference w:type="default" r:id="rId24"/>
      <w:footerReference w:type="default" r:id="rId25"/>
      <w:pgSz w:w="11906" w:h="16838"/>
      <w:pgMar w:top="426"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C1DD6" w14:textId="77777777" w:rsidR="00F95327" w:rsidRDefault="00F95327">
      <w:pPr>
        <w:spacing w:after="0" w:line="240" w:lineRule="auto"/>
      </w:pPr>
      <w:r>
        <w:separator/>
      </w:r>
    </w:p>
  </w:endnote>
  <w:endnote w:type="continuationSeparator" w:id="0">
    <w:p w14:paraId="108C5E8D" w14:textId="77777777" w:rsidR="00F95327" w:rsidRDefault="00F95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1249CA79" w:rsidR="000E5914" w:rsidRDefault="009D71E8">
    <w:pPr>
      <w:pStyle w:val="Footer"/>
      <w:ind w:firstLine="4513"/>
    </w:pPr>
    <w:r>
      <w:fldChar w:fldCharType="begin"/>
    </w:r>
    <w:r>
      <w:instrText xml:space="preserve"> PAGE </w:instrText>
    </w:r>
    <w:r>
      <w:fldChar w:fldCharType="separate"/>
    </w:r>
    <w:r w:rsidR="00303A0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9CD7C" w14:textId="77777777" w:rsidR="00F95327" w:rsidRDefault="00F95327">
      <w:pPr>
        <w:spacing w:after="0" w:line="240" w:lineRule="auto"/>
      </w:pPr>
      <w:r>
        <w:separator/>
      </w:r>
    </w:p>
  </w:footnote>
  <w:footnote w:type="continuationSeparator" w:id="0">
    <w:p w14:paraId="7724151B" w14:textId="77777777" w:rsidR="00F95327" w:rsidRDefault="00F95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0E5914" w:rsidRDefault="000E59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25E56"/>
    <w:multiLevelType w:val="hybridMultilevel"/>
    <w:tmpl w:val="86500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C4FB36F"/>
    <w:multiLevelType w:val="hybridMultilevel"/>
    <w:tmpl w:val="104C9D74"/>
    <w:lvl w:ilvl="0" w:tplc="F34E7A22">
      <w:start w:val="1"/>
      <w:numFmt w:val="bullet"/>
      <w:lvlText w:val=""/>
      <w:lvlJc w:val="left"/>
      <w:pPr>
        <w:ind w:left="417" w:hanging="360"/>
      </w:pPr>
      <w:rPr>
        <w:rFonts w:ascii="Symbol" w:hAnsi="Symbol" w:hint="default"/>
      </w:rPr>
    </w:lvl>
    <w:lvl w:ilvl="1" w:tplc="F94216D0">
      <w:start w:val="1"/>
      <w:numFmt w:val="bullet"/>
      <w:lvlText w:val="o"/>
      <w:lvlJc w:val="left"/>
      <w:pPr>
        <w:ind w:left="1440" w:hanging="360"/>
      </w:pPr>
      <w:rPr>
        <w:rFonts w:ascii="Courier New" w:hAnsi="Courier New" w:hint="default"/>
      </w:rPr>
    </w:lvl>
    <w:lvl w:ilvl="2" w:tplc="A64AE45A">
      <w:start w:val="1"/>
      <w:numFmt w:val="bullet"/>
      <w:lvlText w:val=""/>
      <w:lvlJc w:val="left"/>
      <w:pPr>
        <w:ind w:left="2160" w:hanging="360"/>
      </w:pPr>
      <w:rPr>
        <w:rFonts w:ascii="Wingdings" w:hAnsi="Wingdings" w:hint="default"/>
      </w:rPr>
    </w:lvl>
    <w:lvl w:ilvl="3" w:tplc="F7285A20">
      <w:start w:val="1"/>
      <w:numFmt w:val="bullet"/>
      <w:lvlText w:val=""/>
      <w:lvlJc w:val="left"/>
      <w:pPr>
        <w:ind w:left="2880" w:hanging="360"/>
      </w:pPr>
      <w:rPr>
        <w:rFonts w:ascii="Symbol" w:hAnsi="Symbol" w:hint="default"/>
      </w:rPr>
    </w:lvl>
    <w:lvl w:ilvl="4" w:tplc="100265A0">
      <w:start w:val="1"/>
      <w:numFmt w:val="bullet"/>
      <w:lvlText w:val="o"/>
      <w:lvlJc w:val="left"/>
      <w:pPr>
        <w:ind w:left="3600" w:hanging="360"/>
      </w:pPr>
      <w:rPr>
        <w:rFonts w:ascii="Courier New" w:hAnsi="Courier New" w:hint="default"/>
      </w:rPr>
    </w:lvl>
    <w:lvl w:ilvl="5" w:tplc="2CA8AF64">
      <w:start w:val="1"/>
      <w:numFmt w:val="bullet"/>
      <w:lvlText w:val=""/>
      <w:lvlJc w:val="left"/>
      <w:pPr>
        <w:ind w:left="4320" w:hanging="360"/>
      </w:pPr>
      <w:rPr>
        <w:rFonts w:ascii="Wingdings" w:hAnsi="Wingdings" w:hint="default"/>
      </w:rPr>
    </w:lvl>
    <w:lvl w:ilvl="6" w:tplc="2AE4E0B8">
      <w:start w:val="1"/>
      <w:numFmt w:val="bullet"/>
      <w:lvlText w:val=""/>
      <w:lvlJc w:val="left"/>
      <w:pPr>
        <w:ind w:left="5040" w:hanging="360"/>
      </w:pPr>
      <w:rPr>
        <w:rFonts w:ascii="Symbol" w:hAnsi="Symbol" w:hint="default"/>
      </w:rPr>
    </w:lvl>
    <w:lvl w:ilvl="7" w:tplc="99D653DA">
      <w:start w:val="1"/>
      <w:numFmt w:val="bullet"/>
      <w:lvlText w:val="o"/>
      <w:lvlJc w:val="left"/>
      <w:pPr>
        <w:ind w:left="5760" w:hanging="360"/>
      </w:pPr>
      <w:rPr>
        <w:rFonts w:ascii="Courier New" w:hAnsi="Courier New" w:hint="default"/>
      </w:rPr>
    </w:lvl>
    <w:lvl w:ilvl="8" w:tplc="45F2E26A">
      <w:start w:val="1"/>
      <w:numFmt w:val="bullet"/>
      <w:lvlText w:val=""/>
      <w:lvlJc w:val="left"/>
      <w:pPr>
        <w:ind w:left="6480" w:hanging="360"/>
      </w:pPr>
      <w:rPr>
        <w:rFonts w:ascii="Wingdings" w:hAnsi="Wingdings" w:hint="default"/>
      </w:rPr>
    </w:lvl>
  </w:abstractNum>
  <w:abstractNum w:abstractNumId="7" w15:restartNumberingAfterBreak="0">
    <w:nsid w:val="2E507520"/>
    <w:multiLevelType w:val="hybridMultilevel"/>
    <w:tmpl w:val="C416F39E"/>
    <w:lvl w:ilvl="0" w:tplc="C09A4526">
      <w:start w:val="1"/>
      <w:numFmt w:val="bullet"/>
      <w:lvlText w:val="•"/>
      <w:lvlJc w:val="left"/>
      <w:pPr>
        <w:tabs>
          <w:tab w:val="num" w:pos="720"/>
        </w:tabs>
        <w:ind w:left="720" w:hanging="360"/>
      </w:pPr>
      <w:rPr>
        <w:rFonts w:ascii="Times New Roman" w:hAnsi="Times New Roman" w:hint="default"/>
      </w:rPr>
    </w:lvl>
    <w:lvl w:ilvl="1" w:tplc="375AFE9C">
      <w:start w:val="1"/>
      <w:numFmt w:val="bullet"/>
      <w:lvlText w:val="•"/>
      <w:lvlJc w:val="left"/>
      <w:pPr>
        <w:tabs>
          <w:tab w:val="num" w:pos="1440"/>
        </w:tabs>
        <w:ind w:left="1440" w:hanging="360"/>
      </w:pPr>
      <w:rPr>
        <w:rFonts w:ascii="Times New Roman" w:hAnsi="Times New Roman" w:hint="default"/>
      </w:rPr>
    </w:lvl>
    <w:lvl w:ilvl="2" w:tplc="52DC4592" w:tentative="1">
      <w:start w:val="1"/>
      <w:numFmt w:val="bullet"/>
      <w:lvlText w:val="•"/>
      <w:lvlJc w:val="left"/>
      <w:pPr>
        <w:tabs>
          <w:tab w:val="num" w:pos="2160"/>
        </w:tabs>
        <w:ind w:left="2160" w:hanging="360"/>
      </w:pPr>
      <w:rPr>
        <w:rFonts w:ascii="Times New Roman" w:hAnsi="Times New Roman" w:hint="default"/>
      </w:rPr>
    </w:lvl>
    <w:lvl w:ilvl="3" w:tplc="675EDA9C" w:tentative="1">
      <w:start w:val="1"/>
      <w:numFmt w:val="bullet"/>
      <w:lvlText w:val="•"/>
      <w:lvlJc w:val="left"/>
      <w:pPr>
        <w:tabs>
          <w:tab w:val="num" w:pos="2880"/>
        </w:tabs>
        <w:ind w:left="2880" w:hanging="360"/>
      </w:pPr>
      <w:rPr>
        <w:rFonts w:ascii="Times New Roman" w:hAnsi="Times New Roman" w:hint="default"/>
      </w:rPr>
    </w:lvl>
    <w:lvl w:ilvl="4" w:tplc="38F443E8" w:tentative="1">
      <w:start w:val="1"/>
      <w:numFmt w:val="bullet"/>
      <w:lvlText w:val="•"/>
      <w:lvlJc w:val="left"/>
      <w:pPr>
        <w:tabs>
          <w:tab w:val="num" w:pos="3600"/>
        </w:tabs>
        <w:ind w:left="3600" w:hanging="360"/>
      </w:pPr>
      <w:rPr>
        <w:rFonts w:ascii="Times New Roman" w:hAnsi="Times New Roman" w:hint="default"/>
      </w:rPr>
    </w:lvl>
    <w:lvl w:ilvl="5" w:tplc="A49ED212" w:tentative="1">
      <w:start w:val="1"/>
      <w:numFmt w:val="bullet"/>
      <w:lvlText w:val="•"/>
      <w:lvlJc w:val="left"/>
      <w:pPr>
        <w:tabs>
          <w:tab w:val="num" w:pos="4320"/>
        </w:tabs>
        <w:ind w:left="4320" w:hanging="360"/>
      </w:pPr>
      <w:rPr>
        <w:rFonts w:ascii="Times New Roman" w:hAnsi="Times New Roman" w:hint="default"/>
      </w:rPr>
    </w:lvl>
    <w:lvl w:ilvl="6" w:tplc="A1969940" w:tentative="1">
      <w:start w:val="1"/>
      <w:numFmt w:val="bullet"/>
      <w:lvlText w:val="•"/>
      <w:lvlJc w:val="left"/>
      <w:pPr>
        <w:tabs>
          <w:tab w:val="num" w:pos="5040"/>
        </w:tabs>
        <w:ind w:left="5040" w:hanging="360"/>
      </w:pPr>
      <w:rPr>
        <w:rFonts w:ascii="Times New Roman" w:hAnsi="Times New Roman" w:hint="default"/>
      </w:rPr>
    </w:lvl>
    <w:lvl w:ilvl="7" w:tplc="988EE9B2" w:tentative="1">
      <w:start w:val="1"/>
      <w:numFmt w:val="bullet"/>
      <w:lvlText w:val="•"/>
      <w:lvlJc w:val="left"/>
      <w:pPr>
        <w:tabs>
          <w:tab w:val="num" w:pos="5760"/>
        </w:tabs>
        <w:ind w:left="5760" w:hanging="360"/>
      </w:pPr>
      <w:rPr>
        <w:rFonts w:ascii="Times New Roman" w:hAnsi="Times New Roman" w:hint="default"/>
      </w:rPr>
    </w:lvl>
    <w:lvl w:ilvl="8" w:tplc="037605E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C4BDD6A"/>
    <w:multiLevelType w:val="hybridMultilevel"/>
    <w:tmpl w:val="3172635A"/>
    <w:lvl w:ilvl="0" w:tplc="09A41A02">
      <w:start w:val="1"/>
      <w:numFmt w:val="bullet"/>
      <w:lvlText w:val=""/>
      <w:lvlJc w:val="left"/>
      <w:pPr>
        <w:ind w:left="417" w:hanging="360"/>
      </w:pPr>
      <w:rPr>
        <w:rFonts w:ascii="Symbol" w:hAnsi="Symbol" w:hint="default"/>
      </w:rPr>
    </w:lvl>
    <w:lvl w:ilvl="1" w:tplc="19123F2E">
      <w:start w:val="1"/>
      <w:numFmt w:val="bullet"/>
      <w:lvlText w:val="o"/>
      <w:lvlJc w:val="left"/>
      <w:pPr>
        <w:ind w:left="1440" w:hanging="360"/>
      </w:pPr>
      <w:rPr>
        <w:rFonts w:ascii="Courier New" w:hAnsi="Courier New" w:hint="default"/>
      </w:rPr>
    </w:lvl>
    <w:lvl w:ilvl="2" w:tplc="2D78BDCA">
      <w:start w:val="1"/>
      <w:numFmt w:val="bullet"/>
      <w:lvlText w:val=""/>
      <w:lvlJc w:val="left"/>
      <w:pPr>
        <w:ind w:left="2160" w:hanging="360"/>
      </w:pPr>
      <w:rPr>
        <w:rFonts w:ascii="Wingdings" w:hAnsi="Wingdings" w:hint="default"/>
      </w:rPr>
    </w:lvl>
    <w:lvl w:ilvl="3" w:tplc="728022DE">
      <w:start w:val="1"/>
      <w:numFmt w:val="bullet"/>
      <w:lvlText w:val=""/>
      <w:lvlJc w:val="left"/>
      <w:pPr>
        <w:ind w:left="2880" w:hanging="360"/>
      </w:pPr>
      <w:rPr>
        <w:rFonts w:ascii="Symbol" w:hAnsi="Symbol" w:hint="default"/>
      </w:rPr>
    </w:lvl>
    <w:lvl w:ilvl="4" w:tplc="125A6E04">
      <w:start w:val="1"/>
      <w:numFmt w:val="bullet"/>
      <w:lvlText w:val="o"/>
      <w:lvlJc w:val="left"/>
      <w:pPr>
        <w:ind w:left="3600" w:hanging="360"/>
      </w:pPr>
      <w:rPr>
        <w:rFonts w:ascii="Courier New" w:hAnsi="Courier New" w:hint="default"/>
      </w:rPr>
    </w:lvl>
    <w:lvl w:ilvl="5" w:tplc="F7FE7134">
      <w:start w:val="1"/>
      <w:numFmt w:val="bullet"/>
      <w:lvlText w:val=""/>
      <w:lvlJc w:val="left"/>
      <w:pPr>
        <w:ind w:left="4320" w:hanging="360"/>
      </w:pPr>
      <w:rPr>
        <w:rFonts w:ascii="Wingdings" w:hAnsi="Wingdings" w:hint="default"/>
      </w:rPr>
    </w:lvl>
    <w:lvl w:ilvl="6" w:tplc="303E12D2">
      <w:start w:val="1"/>
      <w:numFmt w:val="bullet"/>
      <w:lvlText w:val=""/>
      <w:lvlJc w:val="left"/>
      <w:pPr>
        <w:ind w:left="5040" w:hanging="360"/>
      </w:pPr>
      <w:rPr>
        <w:rFonts w:ascii="Symbol" w:hAnsi="Symbol" w:hint="default"/>
      </w:rPr>
    </w:lvl>
    <w:lvl w:ilvl="7" w:tplc="3E8A8A4C">
      <w:start w:val="1"/>
      <w:numFmt w:val="bullet"/>
      <w:lvlText w:val="o"/>
      <w:lvlJc w:val="left"/>
      <w:pPr>
        <w:ind w:left="5760" w:hanging="360"/>
      </w:pPr>
      <w:rPr>
        <w:rFonts w:ascii="Courier New" w:hAnsi="Courier New" w:hint="default"/>
      </w:rPr>
    </w:lvl>
    <w:lvl w:ilvl="8" w:tplc="1E2830C4">
      <w:start w:val="1"/>
      <w:numFmt w:val="bullet"/>
      <w:lvlText w:val=""/>
      <w:lvlJc w:val="left"/>
      <w:pPr>
        <w:ind w:left="6480" w:hanging="360"/>
      </w:pPr>
      <w:rPr>
        <w:rFonts w:ascii="Wingdings" w:hAnsi="Wingdings" w:hint="default"/>
      </w:rPr>
    </w:lvl>
  </w:abstractNum>
  <w:abstractNum w:abstractNumId="12" w15:restartNumberingAfterBreak="0">
    <w:nsid w:val="59FE70B7"/>
    <w:multiLevelType w:val="hybridMultilevel"/>
    <w:tmpl w:val="B8A654F8"/>
    <w:lvl w:ilvl="0" w:tplc="1CE62420">
      <w:start w:val="1"/>
      <w:numFmt w:val="bullet"/>
      <w:lvlText w:val=""/>
      <w:lvlJc w:val="left"/>
      <w:pPr>
        <w:ind w:left="414" w:hanging="360"/>
      </w:pPr>
      <w:rPr>
        <w:rFonts w:ascii="Symbol" w:hAnsi="Symbol" w:hint="default"/>
      </w:rPr>
    </w:lvl>
    <w:lvl w:ilvl="1" w:tplc="5238C94C">
      <w:start w:val="1"/>
      <w:numFmt w:val="bullet"/>
      <w:lvlText w:val="o"/>
      <w:lvlJc w:val="left"/>
      <w:pPr>
        <w:ind w:left="1440" w:hanging="360"/>
      </w:pPr>
      <w:rPr>
        <w:rFonts w:ascii="Courier New" w:hAnsi="Courier New" w:hint="default"/>
      </w:rPr>
    </w:lvl>
    <w:lvl w:ilvl="2" w:tplc="DEF2834E">
      <w:start w:val="1"/>
      <w:numFmt w:val="bullet"/>
      <w:lvlText w:val=""/>
      <w:lvlJc w:val="left"/>
      <w:pPr>
        <w:ind w:left="2160" w:hanging="360"/>
      </w:pPr>
      <w:rPr>
        <w:rFonts w:ascii="Wingdings" w:hAnsi="Wingdings" w:hint="default"/>
      </w:rPr>
    </w:lvl>
    <w:lvl w:ilvl="3" w:tplc="C03C4EE2">
      <w:start w:val="1"/>
      <w:numFmt w:val="bullet"/>
      <w:lvlText w:val=""/>
      <w:lvlJc w:val="left"/>
      <w:pPr>
        <w:ind w:left="2880" w:hanging="360"/>
      </w:pPr>
      <w:rPr>
        <w:rFonts w:ascii="Symbol" w:hAnsi="Symbol" w:hint="default"/>
      </w:rPr>
    </w:lvl>
    <w:lvl w:ilvl="4" w:tplc="94DE6BC0">
      <w:start w:val="1"/>
      <w:numFmt w:val="bullet"/>
      <w:lvlText w:val="o"/>
      <w:lvlJc w:val="left"/>
      <w:pPr>
        <w:ind w:left="3600" w:hanging="360"/>
      </w:pPr>
      <w:rPr>
        <w:rFonts w:ascii="Courier New" w:hAnsi="Courier New" w:hint="default"/>
      </w:rPr>
    </w:lvl>
    <w:lvl w:ilvl="5" w:tplc="22F8FDE4">
      <w:start w:val="1"/>
      <w:numFmt w:val="bullet"/>
      <w:lvlText w:val=""/>
      <w:lvlJc w:val="left"/>
      <w:pPr>
        <w:ind w:left="4320" w:hanging="360"/>
      </w:pPr>
      <w:rPr>
        <w:rFonts w:ascii="Wingdings" w:hAnsi="Wingdings" w:hint="default"/>
      </w:rPr>
    </w:lvl>
    <w:lvl w:ilvl="6" w:tplc="A43C247E">
      <w:start w:val="1"/>
      <w:numFmt w:val="bullet"/>
      <w:lvlText w:val=""/>
      <w:lvlJc w:val="left"/>
      <w:pPr>
        <w:ind w:left="5040" w:hanging="360"/>
      </w:pPr>
      <w:rPr>
        <w:rFonts w:ascii="Symbol" w:hAnsi="Symbol" w:hint="default"/>
      </w:rPr>
    </w:lvl>
    <w:lvl w:ilvl="7" w:tplc="3F144CDE">
      <w:start w:val="1"/>
      <w:numFmt w:val="bullet"/>
      <w:lvlText w:val="o"/>
      <w:lvlJc w:val="left"/>
      <w:pPr>
        <w:ind w:left="5760" w:hanging="360"/>
      </w:pPr>
      <w:rPr>
        <w:rFonts w:ascii="Courier New" w:hAnsi="Courier New" w:hint="default"/>
      </w:rPr>
    </w:lvl>
    <w:lvl w:ilvl="8" w:tplc="41BC35AA">
      <w:start w:val="1"/>
      <w:numFmt w:val="bullet"/>
      <w:lvlText w:val=""/>
      <w:lvlJc w:val="left"/>
      <w:pPr>
        <w:ind w:left="6480" w:hanging="360"/>
      </w:pPr>
      <w:rPr>
        <w:rFonts w:ascii="Wingdings" w:hAnsi="Wingdings" w:hint="default"/>
      </w:rPr>
    </w:lvl>
  </w:abstractNum>
  <w:abstractNum w:abstractNumId="13" w15:restartNumberingAfterBreak="0">
    <w:nsid w:val="5F197F52"/>
    <w:multiLevelType w:val="hybridMultilevel"/>
    <w:tmpl w:val="61AED1BC"/>
    <w:lvl w:ilvl="0" w:tplc="D0168208">
      <w:start w:val="1"/>
      <w:numFmt w:val="bullet"/>
      <w:lvlText w:val=""/>
      <w:lvlJc w:val="left"/>
      <w:pPr>
        <w:ind w:left="414" w:hanging="360"/>
      </w:pPr>
      <w:rPr>
        <w:rFonts w:ascii="Symbol" w:hAnsi="Symbol" w:hint="default"/>
      </w:rPr>
    </w:lvl>
    <w:lvl w:ilvl="1" w:tplc="D2F0FB84">
      <w:start w:val="1"/>
      <w:numFmt w:val="bullet"/>
      <w:lvlText w:val="o"/>
      <w:lvlJc w:val="left"/>
      <w:pPr>
        <w:ind w:left="1440" w:hanging="360"/>
      </w:pPr>
      <w:rPr>
        <w:rFonts w:ascii="Courier New" w:hAnsi="Courier New" w:hint="default"/>
      </w:rPr>
    </w:lvl>
    <w:lvl w:ilvl="2" w:tplc="A294B0CE">
      <w:start w:val="1"/>
      <w:numFmt w:val="bullet"/>
      <w:lvlText w:val=""/>
      <w:lvlJc w:val="left"/>
      <w:pPr>
        <w:ind w:left="2160" w:hanging="360"/>
      </w:pPr>
      <w:rPr>
        <w:rFonts w:ascii="Wingdings" w:hAnsi="Wingdings" w:hint="default"/>
      </w:rPr>
    </w:lvl>
    <w:lvl w:ilvl="3" w:tplc="786AE428">
      <w:start w:val="1"/>
      <w:numFmt w:val="bullet"/>
      <w:lvlText w:val=""/>
      <w:lvlJc w:val="left"/>
      <w:pPr>
        <w:ind w:left="2880" w:hanging="360"/>
      </w:pPr>
      <w:rPr>
        <w:rFonts w:ascii="Symbol" w:hAnsi="Symbol" w:hint="default"/>
      </w:rPr>
    </w:lvl>
    <w:lvl w:ilvl="4" w:tplc="868E71BA">
      <w:start w:val="1"/>
      <w:numFmt w:val="bullet"/>
      <w:lvlText w:val="o"/>
      <w:lvlJc w:val="left"/>
      <w:pPr>
        <w:ind w:left="3600" w:hanging="360"/>
      </w:pPr>
      <w:rPr>
        <w:rFonts w:ascii="Courier New" w:hAnsi="Courier New" w:hint="default"/>
      </w:rPr>
    </w:lvl>
    <w:lvl w:ilvl="5" w:tplc="87EA8E82">
      <w:start w:val="1"/>
      <w:numFmt w:val="bullet"/>
      <w:lvlText w:val=""/>
      <w:lvlJc w:val="left"/>
      <w:pPr>
        <w:ind w:left="4320" w:hanging="360"/>
      </w:pPr>
      <w:rPr>
        <w:rFonts w:ascii="Wingdings" w:hAnsi="Wingdings" w:hint="default"/>
      </w:rPr>
    </w:lvl>
    <w:lvl w:ilvl="6" w:tplc="7D780BDC">
      <w:start w:val="1"/>
      <w:numFmt w:val="bullet"/>
      <w:lvlText w:val=""/>
      <w:lvlJc w:val="left"/>
      <w:pPr>
        <w:ind w:left="5040" w:hanging="360"/>
      </w:pPr>
      <w:rPr>
        <w:rFonts w:ascii="Symbol" w:hAnsi="Symbol" w:hint="default"/>
      </w:rPr>
    </w:lvl>
    <w:lvl w:ilvl="7" w:tplc="43A0B25A">
      <w:start w:val="1"/>
      <w:numFmt w:val="bullet"/>
      <w:lvlText w:val="o"/>
      <w:lvlJc w:val="left"/>
      <w:pPr>
        <w:ind w:left="5760" w:hanging="360"/>
      </w:pPr>
      <w:rPr>
        <w:rFonts w:ascii="Courier New" w:hAnsi="Courier New" w:hint="default"/>
      </w:rPr>
    </w:lvl>
    <w:lvl w:ilvl="8" w:tplc="CD0CBC2C">
      <w:start w:val="1"/>
      <w:numFmt w:val="bullet"/>
      <w:lvlText w:val=""/>
      <w:lvlJc w:val="left"/>
      <w:pPr>
        <w:ind w:left="6480" w:hanging="360"/>
      </w:pPr>
      <w:rPr>
        <w:rFonts w:ascii="Wingdings" w:hAnsi="Wingdings" w:hint="default"/>
      </w:rPr>
    </w:lvl>
  </w:abstractNum>
  <w:abstractNum w:abstractNumId="14"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59BE741"/>
    <w:multiLevelType w:val="hybridMultilevel"/>
    <w:tmpl w:val="0E2E7452"/>
    <w:lvl w:ilvl="0" w:tplc="CE9E1F3C">
      <w:start w:val="1"/>
      <w:numFmt w:val="bullet"/>
      <w:lvlText w:val=""/>
      <w:lvlJc w:val="left"/>
      <w:pPr>
        <w:ind w:left="414" w:hanging="360"/>
      </w:pPr>
      <w:rPr>
        <w:rFonts w:ascii="Symbol" w:hAnsi="Symbol" w:hint="default"/>
      </w:rPr>
    </w:lvl>
    <w:lvl w:ilvl="1" w:tplc="9BCAFA30">
      <w:start w:val="1"/>
      <w:numFmt w:val="bullet"/>
      <w:lvlText w:val="o"/>
      <w:lvlJc w:val="left"/>
      <w:pPr>
        <w:ind w:left="1440" w:hanging="360"/>
      </w:pPr>
      <w:rPr>
        <w:rFonts w:ascii="Courier New" w:hAnsi="Courier New" w:hint="default"/>
      </w:rPr>
    </w:lvl>
    <w:lvl w:ilvl="2" w:tplc="C0ECAB48">
      <w:start w:val="1"/>
      <w:numFmt w:val="bullet"/>
      <w:lvlText w:val=""/>
      <w:lvlJc w:val="left"/>
      <w:pPr>
        <w:ind w:left="2160" w:hanging="360"/>
      </w:pPr>
      <w:rPr>
        <w:rFonts w:ascii="Wingdings" w:hAnsi="Wingdings" w:hint="default"/>
      </w:rPr>
    </w:lvl>
    <w:lvl w:ilvl="3" w:tplc="6BDAFF86">
      <w:start w:val="1"/>
      <w:numFmt w:val="bullet"/>
      <w:lvlText w:val=""/>
      <w:lvlJc w:val="left"/>
      <w:pPr>
        <w:ind w:left="2880" w:hanging="360"/>
      </w:pPr>
      <w:rPr>
        <w:rFonts w:ascii="Symbol" w:hAnsi="Symbol" w:hint="default"/>
      </w:rPr>
    </w:lvl>
    <w:lvl w:ilvl="4" w:tplc="4692C90E">
      <w:start w:val="1"/>
      <w:numFmt w:val="bullet"/>
      <w:lvlText w:val="o"/>
      <w:lvlJc w:val="left"/>
      <w:pPr>
        <w:ind w:left="3600" w:hanging="360"/>
      </w:pPr>
      <w:rPr>
        <w:rFonts w:ascii="Courier New" w:hAnsi="Courier New" w:hint="default"/>
      </w:rPr>
    </w:lvl>
    <w:lvl w:ilvl="5" w:tplc="C90A26AA">
      <w:start w:val="1"/>
      <w:numFmt w:val="bullet"/>
      <w:lvlText w:val=""/>
      <w:lvlJc w:val="left"/>
      <w:pPr>
        <w:ind w:left="4320" w:hanging="360"/>
      </w:pPr>
      <w:rPr>
        <w:rFonts w:ascii="Wingdings" w:hAnsi="Wingdings" w:hint="default"/>
      </w:rPr>
    </w:lvl>
    <w:lvl w:ilvl="6" w:tplc="ABBA912A">
      <w:start w:val="1"/>
      <w:numFmt w:val="bullet"/>
      <w:lvlText w:val=""/>
      <w:lvlJc w:val="left"/>
      <w:pPr>
        <w:ind w:left="5040" w:hanging="360"/>
      </w:pPr>
      <w:rPr>
        <w:rFonts w:ascii="Symbol" w:hAnsi="Symbol" w:hint="default"/>
      </w:rPr>
    </w:lvl>
    <w:lvl w:ilvl="7" w:tplc="81E0D84C">
      <w:start w:val="1"/>
      <w:numFmt w:val="bullet"/>
      <w:lvlText w:val="o"/>
      <w:lvlJc w:val="left"/>
      <w:pPr>
        <w:ind w:left="5760" w:hanging="360"/>
      </w:pPr>
      <w:rPr>
        <w:rFonts w:ascii="Courier New" w:hAnsi="Courier New" w:hint="default"/>
      </w:rPr>
    </w:lvl>
    <w:lvl w:ilvl="8" w:tplc="6C66F834">
      <w:start w:val="1"/>
      <w:numFmt w:val="bullet"/>
      <w:lvlText w:val=""/>
      <w:lvlJc w:val="left"/>
      <w:pPr>
        <w:ind w:left="6480" w:hanging="360"/>
      </w:pPr>
      <w:rPr>
        <w:rFonts w:ascii="Wingdings" w:hAnsi="Wingdings" w:hint="default"/>
      </w:rPr>
    </w:lvl>
  </w:abstractNum>
  <w:abstractNum w:abstractNumId="16"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6B377754"/>
    <w:multiLevelType w:val="hybridMultilevel"/>
    <w:tmpl w:val="2D6043A6"/>
    <w:lvl w:ilvl="0" w:tplc="B004372E">
      <w:start w:val="1"/>
      <w:numFmt w:val="bullet"/>
      <w:lvlText w:val="•"/>
      <w:lvlJc w:val="left"/>
      <w:pPr>
        <w:tabs>
          <w:tab w:val="num" w:pos="720"/>
        </w:tabs>
        <w:ind w:left="720" w:hanging="360"/>
      </w:pPr>
      <w:rPr>
        <w:rFonts w:ascii="Times New Roman" w:hAnsi="Times New Roman" w:hint="default"/>
      </w:rPr>
    </w:lvl>
    <w:lvl w:ilvl="1" w:tplc="4C56EABC" w:tentative="1">
      <w:start w:val="1"/>
      <w:numFmt w:val="bullet"/>
      <w:lvlText w:val="•"/>
      <w:lvlJc w:val="left"/>
      <w:pPr>
        <w:tabs>
          <w:tab w:val="num" w:pos="1440"/>
        </w:tabs>
        <w:ind w:left="1440" w:hanging="360"/>
      </w:pPr>
      <w:rPr>
        <w:rFonts w:ascii="Times New Roman" w:hAnsi="Times New Roman" w:hint="default"/>
      </w:rPr>
    </w:lvl>
    <w:lvl w:ilvl="2" w:tplc="B622AB86" w:tentative="1">
      <w:start w:val="1"/>
      <w:numFmt w:val="bullet"/>
      <w:lvlText w:val="•"/>
      <w:lvlJc w:val="left"/>
      <w:pPr>
        <w:tabs>
          <w:tab w:val="num" w:pos="2160"/>
        </w:tabs>
        <w:ind w:left="2160" w:hanging="360"/>
      </w:pPr>
      <w:rPr>
        <w:rFonts w:ascii="Times New Roman" w:hAnsi="Times New Roman" w:hint="default"/>
      </w:rPr>
    </w:lvl>
    <w:lvl w:ilvl="3" w:tplc="B32AD536" w:tentative="1">
      <w:start w:val="1"/>
      <w:numFmt w:val="bullet"/>
      <w:lvlText w:val="•"/>
      <w:lvlJc w:val="left"/>
      <w:pPr>
        <w:tabs>
          <w:tab w:val="num" w:pos="2880"/>
        </w:tabs>
        <w:ind w:left="2880" w:hanging="360"/>
      </w:pPr>
      <w:rPr>
        <w:rFonts w:ascii="Times New Roman" w:hAnsi="Times New Roman" w:hint="default"/>
      </w:rPr>
    </w:lvl>
    <w:lvl w:ilvl="4" w:tplc="0D76CD30" w:tentative="1">
      <w:start w:val="1"/>
      <w:numFmt w:val="bullet"/>
      <w:lvlText w:val="•"/>
      <w:lvlJc w:val="left"/>
      <w:pPr>
        <w:tabs>
          <w:tab w:val="num" w:pos="3600"/>
        </w:tabs>
        <w:ind w:left="3600" w:hanging="360"/>
      </w:pPr>
      <w:rPr>
        <w:rFonts w:ascii="Times New Roman" w:hAnsi="Times New Roman" w:hint="default"/>
      </w:rPr>
    </w:lvl>
    <w:lvl w:ilvl="5" w:tplc="691E3048" w:tentative="1">
      <w:start w:val="1"/>
      <w:numFmt w:val="bullet"/>
      <w:lvlText w:val="•"/>
      <w:lvlJc w:val="left"/>
      <w:pPr>
        <w:tabs>
          <w:tab w:val="num" w:pos="4320"/>
        </w:tabs>
        <w:ind w:left="4320" w:hanging="360"/>
      </w:pPr>
      <w:rPr>
        <w:rFonts w:ascii="Times New Roman" w:hAnsi="Times New Roman" w:hint="default"/>
      </w:rPr>
    </w:lvl>
    <w:lvl w:ilvl="6" w:tplc="B8E252C2" w:tentative="1">
      <w:start w:val="1"/>
      <w:numFmt w:val="bullet"/>
      <w:lvlText w:val="•"/>
      <w:lvlJc w:val="left"/>
      <w:pPr>
        <w:tabs>
          <w:tab w:val="num" w:pos="5040"/>
        </w:tabs>
        <w:ind w:left="5040" w:hanging="360"/>
      </w:pPr>
      <w:rPr>
        <w:rFonts w:ascii="Times New Roman" w:hAnsi="Times New Roman" w:hint="default"/>
      </w:rPr>
    </w:lvl>
    <w:lvl w:ilvl="7" w:tplc="2BC479C8" w:tentative="1">
      <w:start w:val="1"/>
      <w:numFmt w:val="bullet"/>
      <w:lvlText w:val="•"/>
      <w:lvlJc w:val="left"/>
      <w:pPr>
        <w:tabs>
          <w:tab w:val="num" w:pos="5760"/>
        </w:tabs>
        <w:ind w:left="5760" w:hanging="360"/>
      </w:pPr>
      <w:rPr>
        <w:rFonts w:ascii="Times New Roman" w:hAnsi="Times New Roman" w:hint="default"/>
      </w:rPr>
    </w:lvl>
    <w:lvl w:ilvl="8" w:tplc="7588782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9"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204172415">
    <w:abstractNumId w:val="6"/>
  </w:num>
  <w:num w:numId="2" w16cid:durableId="1019506209">
    <w:abstractNumId w:val="11"/>
  </w:num>
  <w:num w:numId="3" w16cid:durableId="10037617">
    <w:abstractNumId w:val="13"/>
  </w:num>
  <w:num w:numId="4" w16cid:durableId="518393311">
    <w:abstractNumId w:val="12"/>
  </w:num>
  <w:num w:numId="5" w16cid:durableId="1981569410">
    <w:abstractNumId w:val="15"/>
  </w:num>
  <w:num w:numId="6" w16cid:durableId="1284382787">
    <w:abstractNumId w:val="4"/>
  </w:num>
  <w:num w:numId="7" w16cid:durableId="1085685878">
    <w:abstractNumId w:val="1"/>
  </w:num>
  <w:num w:numId="8" w16cid:durableId="838883680">
    <w:abstractNumId w:val="5"/>
  </w:num>
  <w:num w:numId="9" w16cid:durableId="130876858">
    <w:abstractNumId w:val="8"/>
  </w:num>
  <w:num w:numId="10" w16cid:durableId="1196425734">
    <w:abstractNumId w:val="0"/>
  </w:num>
  <w:num w:numId="11" w16cid:durableId="1807356812">
    <w:abstractNumId w:val="10"/>
  </w:num>
  <w:num w:numId="12" w16cid:durableId="932325929">
    <w:abstractNumId w:val="16"/>
  </w:num>
  <w:num w:numId="13" w16cid:durableId="1561288796">
    <w:abstractNumId w:val="22"/>
  </w:num>
  <w:num w:numId="14" w16cid:durableId="814906137">
    <w:abstractNumId w:val="20"/>
  </w:num>
  <w:num w:numId="15" w16cid:durableId="1508787309">
    <w:abstractNumId w:val="18"/>
  </w:num>
  <w:num w:numId="16" w16cid:durableId="2118325652">
    <w:abstractNumId w:val="3"/>
  </w:num>
  <w:num w:numId="17" w16cid:durableId="1764305476">
    <w:abstractNumId w:val="21"/>
  </w:num>
  <w:num w:numId="18" w16cid:durableId="537204370">
    <w:abstractNumId w:val="14"/>
  </w:num>
  <w:num w:numId="19" w16cid:durableId="2133669889">
    <w:abstractNumId w:val="7"/>
  </w:num>
  <w:num w:numId="20" w16cid:durableId="119734766">
    <w:abstractNumId w:val="17"/>
  </w:num>
  <w:num w:numId="21" w16cid:durableId="734165177">
    <w:abstractNumId w:val="2"/>
  </w:num>
  <w:num w:numId="22" w16cid:durableId="1749379169">
    <w:abstractNumId w:val="9"/>
  </w:num>
  <w:num w:numId="23" w16cid:durableId="7942981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44770"/>
    <w:rsid w:val="00052BA9"/>
    <w:rsid w:val="00061DB5"/>
    <w:rsid w:val="00066B73"/>
    <w:rsid w:val="0009659F"/>
    <w:rsid w:val="000B1427"/>
    <w:rsid w:val="000C6440"/>
    <w:rsid w:val="000D2BB7"/>
    <w:rsid w:val="000D5A0B"/>
    <w:rsid w:val="000E5914"/>
    <w:rsid w:val="000F1CD7"/>
    <w:rsid w:val="00120AB1"/>
    <w:rsid w:val="00122E53"/>
    <w:rsid w:val="0012664B"/>
    <w:rsid w:val="001351F5"/>
    <w:rsid w:val="0014509A"/>
    <w:rsid w:val="0015390F"/>
    <w:rsid w:val="001563FC"/>
    <w:rsid w:val="001B72DB"/>
    <w:rsid w:val="00201B07"/>
    <w:rsid w:val="0020551A"/>
    <w:rsid w:val="00276B61"/>
    <w:rsid w:val="002B1B9A"/>
    <w:rsid w:val="002B4C86"/>
    <w:rsid w:val="002E4286"/>
    <w:rsid w:val="002F461D"/>
    <w:rsid w:val="002F4E66"/>
    <w:rsid w:val="00303A0E"/>
    <w:rsid w:val="003044B1"/>
    <w:rsid w:val="00320577"/>
    <w:rsid w:val="003528AF"/>
    <w:rsid w:val="0039453A"/>
    <w:rsid w:val="0039583C"/>
    <w:rsid w:val="00395D34"/>
    <w:rsid w:val="003B1FAA"/>
    <w:rsid w:val="003F371C"/>
    <w:rsid w:val="004044AA"/>
    <w:rsid w:val="00430578"/>
    <w:rsid w:val="00437DE2"/>
    <w:rsid w:val="00483D37"/>
    <w:rsid w:val="004946EF"/>
    <w:rsid w:val="00502C68"/>
    <w:rsid w:val="00507F33"/>
    <w:rsid w:val="0053791B"/>
    <w:rsid w:val="00567CE8"/>
    <w:rsid w:val="005D0075"/>
    <w:rsid w:val="005D158C"/>
    <w:rsid w:val="00636627"/>
    <w:rsid w:val="0064013B"/>
    <w:rsid w:val="00643C86"/>
    <w:rsid w:val="00645F04"/>
    <w:rsid w:val="0066288A"/>
    <w:rsid w:val="00671A9A"/>
    <w:rsid w:val="00675097"/>
    <w:rsid w:val="006927C5"/>
    <w:rsid w:val="006A1320"/>
    <w:rsid w:val="006E7FB1"/>
    <w:rsid w:val="00712F5F"/>
    <w:rsid w:val="00722AB0"/>
    <w:rsid w:val="007263BD"/>
    <w:rsid w:val="00737808"/>
    <w:rsid w:val="00741B9E"/>
    <w:rsid w:val="00777098"/>
    <w:rsid w:val="00791478"/>
    <w:rsid w:val="007C2F04"/>
    <w:rsid w:val="008233EA"/>
    <w:rsid w:val="00837D08"/>
    <w:rsid w:val="008428A8"/>
    <w:rsid w:val="00887D95"/>
    <w:rsid w:val="008C5528"/>
    <w:rsid w:val="008D64B4"/>
    <w:rsid w:val="00944156"/>
    <w:rsid w:val="00944C54"/>
    <w:rsid w:val="009852CD"/>
    <w:rsid w:val="009A14C1"/>
    <w:rsid w:val="009A6C3B"/>
    <w:rsid w:val="009A7B4B"/>
    <w:rsid w:val="009B353A"/>
    <w:rsid w:val="009B7C68"/>
    <w:rsid w:val="009D71E8"/>
    <w:rsid w:val="009F46CA"/>
    <w:rsid w:val="00A23AE5"/>
    <w:rsid w:val="00A51B9D"/>
    <w:rsid w:val="00A71A62"/>
    <w:rsid w:val="00A74AD3"/>
    <w:rsid w:val="00A83BF4"/>
    <w:rsid w:val="00AB0ED9"/>
    <w:rsid w:val="00AC62E0"/>
    <w:rsid w:val="00AE5F67"/>
    <w:rsid w:val="00AF3D2D"/>
    <w:rsid w:val="00B21192"/>
    <w:rsid w:val="00B2335D"/>
    <w:rsid w:val="00B63CD2"/>
    <w:rsid w:val="00B650E6"/>
    <w:rsid w:val="00B7189E"/>
    <w:rsid w:val="00BB7DA1"/>
    <w:rsid w:val="00BC16A3"/>
    <w:rsid w:val="00BC5112"/>
    <w:rsid w:val="00BC5F4F"/>
    <w:rsid w:val="00BD32F9"/>
    <w:rsid w:val="00C0A4E2"/>
    <w:rsid w:val="00C21AE4"/>
    <w:rsid w:val="00C24534"/>
    <w:rsid w:val="00C4420D"/>
    <w:rsid w:val="00C9149A"/>
    <w:rsid w:val="00CE2D59"/>
    <w:rsid w:val="00CF2A82"/>
    <w:rsid w:val="00D07597"/>
    <w:rsid w:val="00D31AC4"/>
    <w:rsid w:val="00D33FE5"/>
    <w:rsid w:val="00D42674"/>
    <w:rsid w:val="00D63405"/>
    <w:rsid w:val="00D915E4"/>
    <w:rsid w:val="00DD0380"/>
    <w:rsid w:val="00DE0F21"/>
    <w:rsid w:val="00E12DE0"/>
    <w:rsid w:val="00E66558"/>
    <w:rsid w:val="00EC1498"/>
    <w:rsid w:val="00ED7D62"/>
    <w:rsid w:val="00F10A47"/>
    <w:rsid w:val="00F253CD"/>
    <w:rsid w:val="00F2570A"/>
    <w:rsid w:val="00F63AC2"/>
    <w:rsid w:val="00F95327"/>
    <w:rsid w:val="00FD367F"/>
    <w:rsid w:val="02C0FFB6"/>
    <w:rsid w:val="0319294D"/>
    <w:rsid w:val="08AF7305"/>
    <w:rsid w:val="09E07F71"/>
    <w:rsid w:val="0A7CDEE2"/>
    <w:rsid w:val="0A838678"/>
    <w:rsid w:val="0AC2E67D"/>
    <w:rsid w:val="0B40FDFF"/>
    <w:rsid w:val="0D45B011"/>
    <w:rsid w:val="0EAD19F6"/>
    <w:rsid w:val="0F8BDEBD"/>
    <w:rsid w:val="0FA77044"/>
    <w:rsid w:val="11236241"/>
    <w:rsid w:val="11A19E8F"/>
    <w:rsid w:val="11B4D515"/>
    <w:rsid w:val="122F1612"/>
    <w:rsid w:val="145DCA00"/>
    <w:rsid w:val="15C4640F"/>
    <w:rsid w:val="160FC51D"/>
    <w:rsid w:val="1648A778"/>
    <w:rsid w:val="1863D726"/>
    <w:rsid w:val="1905EDE8"/>
    <w:rsid w:val="1AF79E8B"/>
    <w:rsid w:val="1B9E3EE5"/>
    <w:rsid w:val="1C55B347"/>
    <w:rsid w:val="1C5D99DD"/>
    <w:rsid w:val="1D229600"/>
    <w:rsid w:val="1D83A99C"/>
    <w:rsid w:val="1E3A9100"/>
    <w:rsid w:val="1FBBCDA9"/>
    <w:rsid w:val="20317166"/>
    <w:rsid w:val="2167C909"/>
    <w:rsid w:val="217F8A46"/>
    <w:rsid w:val="22203BDA"/>
    <w:rsid w:val="22C4C60F"/>
    <w:rsid w:val="22F36E6B"/>
    <w:rsid w:val="23216FC0"/>
    <w:rsid w:val="23287569"/>
    <w:rsid w:val="23EA4000"/>
    <w:rsid w:val="248F3ECC"/>
    <w:rsid w:val="2553733B"/>
    <w:rsid w:val="2645A2E5"/>
    <w:rsid w:val="26D741B0"/>
    <w:rsid w:val="27F441B4"/>
    <w:rsid w:val="29901215"/>
    <w:rsid w:val="2C9D4162"/>
    <w:rsid w:val="2F5AA75D"/>
    <w:rsid w:val="2FF8C99A"/>
    <w:rsid w:val="30EB96C5"/>
    <w:rsid w:val="320A03E3"/>
    <w:rsid w:val="33285FAC"/>
    <w:rsid w:val="3346C635"/>
    <w:rsid w:val="34BA9047"/>
    <w:rsid w:val="34DC5C67"/>
    <w:rsid w:val="353D0B9F"/>
    <w:rsid w:val="365660A8"/>
    <w:rsid w:val="381A3758"/>
    <w:rsid w:val="38A03BF6"/>
    <w:rsid w:val="399596AF"/>
    <w:rsid w:val="39AE2365"/>
    <w:rsid w:val="3A1EBBB6"/>
    <w:rsid w:val="3B49F3C6"/>
    <w:rsid w:val="3EEF0DCF"/>
    <w:rsid w:val="41A0DCBB"/>
    <w:rsid w:val="43524327"/>
    <w:rsid w:val="439FA8A2"/>
    <w:rsid w:val="4476C1F9"/>
    <w:rsid w:val="44C06E04"/>
    <w:rsid w:val="4568984D"/>
    <w:rsid w:val="4BDBFB03"/>
    <w:rsid w:val="4BEA9542"/>
    <w:rsid w:val="4C5674D1"/>
    <w:rsid w:val="4D51FF27"/>
    <w:rsid w:val="4DC3B419"/>
    <w:rsid w:val="4EB75FCF"/>
    <w:rsid w:val="4F2D8ECA"/>
    <w:rsid w:val="4F80CB3B"/>
    <w:rsid w:val="4F8E1593"/>
    <w:rsid w:val="4FD9CFBE"/>
    <w:rsid w:val="50FB54DB"/>
    <w:rsid w:val="51753462"/>
    <w:rsid w:val="51F3A570"/>
    <w:rsid w:val="5297253C"/>
    <w:rsid w:val="5419CD40"/>
    <w:rsid w:val="54348002"/>
    <w:rsid w:val="55B43246"/>
    <w:rsid w:val="55B7CE8E"/>
    <w:rsid w:val="55CEC5FE"/>
    <w:rsid w:val="5713A198"/>
    <w:rsid w:val="575002A7"/>
    <w:rsid w:val="5822AFB7"/>
    <w:rsid w:val="58708716"/>
    <w:rsid w:val="58790C14"/>
    <w:rsid w:val="587A2425"/>
    <w:rsid w:val="5948F8EC"/>
    <w:rsid w:val="59A4CD7C"/>
    <w:rsid w:val="59C83403"/>
    <w:rsid w:val="5B88CEDF"/>
    <w:rsid w:val="5C288ECD"/>
    <w:rsid w:val="5FAF8F50"/>
    <w:rsid w:val="601D70B1"/>
    <w:rsid w:val="6121848F"/>
    <w:rsid w:val="6127877A"/>
    <w:rsid w:val="626FE89C"/>
    <w:rsid w:val="6355EDEC"/>
    <w:rsid w:val="6387E39C"/>
    <w:rsid w:val="64CCE415"/>
    <w:rsid w:val="650AE6AA"/>
    <w:rsid w:val="664FBAFC"/>
    <w:rsid w:val="66509852"/>
    <w:rsid w:val="67A6CBE5"/>
    <w:rsid w:val="69425459"/>
    <w:rsid w:val="69875BBE"/>
    <w:rsid w:val="6A954788"/>
    <w:rsid w:val="6AFD724F"/>
    <w:rsid w:val="6BFDA285"/>
    <w:rsid w:val="6CFCD032"/>
    <w:rsid w:val="6DF97398"/>
    <w:rsid w:val="6E277A2C"/>
    <w:rsid w:val="6E98A093"/>
    <w:rsid w:val="6EFDD9EA"/>
    <w:rsid w:val="6F9543F9"/>
    <w:rsid w:val="7032AA8F"/>
    <w:rsid w:val="70840DF3"/>
    <w:rsid w:val="70FA06FB"/>
    <w:rsid w:val="71D04155"/>
    <w:rsid w:val="72CCE4BB"/>
    <w:rsid w:val="75BDD158"/>
    <w:rsid w:val="76738ABC"/>
    <w:rsid w:val="7701A3AF"/>
    <w:rsid w:val="78A7F728"/>
    <w:rsid w:val="7B65ADBC"/>
    <w:rsid w:val="7BAFC5BE"/>
    <w:rsid w:val="7BDF97EA"/>
    <w:rsid w:val="7D22B4F8"/>
    <w:rsid w:val="7FB7F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6"/>
      </w:numPr>
      <w:spacing w:before="240" w:after="60"/>
      <w:outlineLvl w:val="5"/>
    </w:pPr>
    <w:rPr>
      <w:rFonts w:ascii="Calibri" w:hAnsi="Calibri"/>
      <w:b/>
      <w:bCs/>
      <w:szCs w:val="22"/>
    </w:rPr>
  </w:style>
  <w:style w:type="paragraph" w:styleId="Heading7">
    <w:name w:val="heading 7"/>
    <w:basedOn w:val="Normal"/>
    <w:next w:val="Normal"/>
    <w:pPr>
      <w:numPr>
        <w:ilvl w:val="6"/>
        <w:numId w:val="6"/>
      </w:numPr>
      <w:spacing w:before="240" w:after="60"/>
      <w:outlineLvl w:val="6"/>
    </w:pPr>
    <w:rPr>
      <w:rFonts w:ascii="Calibri" w:hAnsi="Calibri"/>
    </w:rPr>
  </w:style>
  <w:style w:type="paragraph" w:styleId="Heading8">
    <w:name w:val="heading 8"/>
    <w:basedOn w:val="Normal"/>
    <w:next w:val="Normal"/>
    <w:pPr>
      <w:numPr>
        <w:ilvl w:val="7"/>
        <w:numId w:val="6"/>
      </w:numPr>
      <w:spacing w:before="240" w:after="60"/>
      <w:outlineLvl w:val="7"/>
    </w:pPr>
    <w:rPr>
      <w:rFonts w:ascii="Calibri" w:hAnsi="Calibri"/>
      <w:i/>
      <w:iCs/>
    </w:rPr>
  </w:style>
  <w:style w:type="paragraph" w:styleId="Heading9">
    <w:name w:val="heading 9"/>
    <w:basedOn w:val="Normal"/>
    <w:next w:val="Normal"/>
    <w:pPr>
      <w:numPr>
        <w:ilvl w:val="8"/>
        <w:numId w:val="6"/>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6"/>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0"/>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9"/>
      </w:numPr>
      <w:contextualSpacing/>
    </w:pPr>
  </w:style>
  <w:style w:type="paragraph" w:styleId="ListParagraph">
    <w:name w:val="List Paragraph"/>
    <w:basedOn w:val="Normal"/>
    <w:uiPriority w:val="34"/>
    <w:qFormat/>
    <w:pPr>
      <w:numPr>
        <w:numId w:val="13"/>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8"/>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1"/>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2"/>
      </w:numPr>
      <w:contextualSpacing/>
    </w:pPr>
  </w:style>
  <w:style w:type="paragraph" w:customStyle="1" w:styleId="DfESOutNumbered">
    <w:name w:val="DfESOutNumbered"/>
    <w:basedOn w:val="Normal"/>
    <w:pPr>
      <w:widowControl w:val="0"/>
      <w:numPr>
        <w:numId w:val="14"/>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5"/>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6"/>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7"/>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7"/>
      </w:numPr>
    </w:pPr>
  </w:style>
  <w:style w:type="numbering" w:customStyle="1" w:styleId="LFO3">
    <w:name w:val="LFO3"/>
    <w:basedOn w:val="NoList"/>
    <w:pPr>
      <w:numPr>
        <w:numId w:val="8"/>
      </w:numPr>
    </w:pPr>
  </w:style>
  <w:style w:type="numbering" w:customStyle="1" w:styleId="LFO4">
    <w:name w:val="LFO4"/>
    <w:basedOn w:val="NoList"/>
    <w:pPr>
      <w:numPr>
        <w:numId w:val="9"/>
      </w:numPr>
    </w:pPr>
  </w:style>
  <w:style w:type="numbering" w:customStyle="1" w:styleId="LFO6">
    <w:name w:val="LFO6"/>
    <w:basedOn w:val="NoList"/>
    <w:pPr>
      <w:numPr>
        <w:numId w:val="10"/>
      </w:numPr>
    </w:pPr>
  </w:style>
  <w:style w:type="numbering" w:customStyle="1" w:styleId="LFO9">
    <w:name w:val="LFO9"/>
    <w:basedOn w:val="NoList"/>
    <w:pPr>
      <w:numPr>
        <w:numId w:val="11"/>
      </w:numPr>
    </w:pPr>
  </w:style>
  <w:style w:type="numbering" w:customStyle="1" w:styleId="LFO10">
    <w:name w:val="LFO10"/>
    <w:basedOn w:val="NoList"/>
    <w:pPr>
      <w:numPr>
        <w:numId w:val="12"/>
      </w:numPr>
    </w:pPr>
  </w:style>
  <w:style w:type="numbering" w:customStyle="1" w:styleId="LFO25">
    <w:name w:val="LFO25"/>
    <w:basedOn w:val="NoList"/>
    <w:pPr>
      <w:numPr>
        <w:numId w:val="13"/>
      </w:numPr>
    </w:pPr>
  </w:style>
  <w:style w:type="numbering" w:customStyle="1" w:styleId="LFO28">
    <w:name w:val="LFO28"/>
    <w:basedOn w:val="NoList"/>
    <w:pPr>
      <w:numPr>
        <w:numId w:val="14"/>
      </w:numPr>
    </w:pPr>
  </w:style>
  <w:style w:type="numbering" w:customStyle="1" w:styleId="LFO30">
    <w:name w:val="LFO30"/>
    <w:basedOn w:val="NoList"/>
    <w:pPr>
      <w:numPr>
        <w:numId w:val="15"/>
      </w:numPr>
    </w:pPr>
  </w:style>
  <w:style w:type="numbering" w:customStyle="1" w:styleId="LFO34">
    <w:name w:val="LFO34"/>
    <w:basedOn w:val="NoList"/>
    <w:pPr>
      <w:numPr>
        <w:numId w:val="16"/>
      </w:numPr>
    </w:pPr>
  </w:style>
  <w:style w:type="numbering" w:customStyle="1" w:styleId="LFO36">
    <w:name w:val="LFO36"/>
    <w:basedOn w:val="NoList"/>
    <w:pPr>
      <w:numPr>
        <w:numId w:val="17"/>
      </w:numPr>
    </w:pPr>
  </w:style>
  <w:style w:type="character" w:customStyle="1" w:styleId="Style1">
    <w:name w:val="Style1"/>
    <w:basedOn w:val="DefaultParagraphFont"/>
    <w:rsid w:val="009B7C68"/>
    <w:rPr>
      <w:rFonts w:ascii="Arial" w:hAnsi="Arial"/>
      <w:b/>
      <w:sz w:val="24"/>
    </w:rPr>
  </w:style>
  <w:style w:type="character" w:customStyle="1" w:styleId="normaltextrun">
    <w:name w:val="normaltextrun"/>
    <w:basedOn w:val="DefaultParagraphFont"/>
    <w:rsid w:val="009B7C68"/>
  </w:style>
  <w:style w:type="character" w:customStyle="1" w:styleId="pull-single">
    <w:name w:val="pull-single"/>
    <w:basedOn w:val="DefaultParagraphFont"/>
    <w:rsid w:val="00A23AE5"/>
  </w:style>
  <w:style w:type="paragraph" w:styleId="NormalWeb">
    <w:name w:val="Normal (Web)"/>
    <w:basedOn w:val="Normal"/>
    <w:uiPriority w:val="99"/>
    <w:unhideWhenUsed/>
    <w:rsid w:val="00AE5F67"/>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9525">
      <w:bodyDiv w:val="1"/>
      <w:marLeft w:val="0"/>
      <w:marRight w:val="0"/>
      <w:marTop w:val="0"/>
      <w:marBottom w:val="0"/>
      <w:divBdr>
        <w:top w:val="none" w:sz="0" w:space="0" w:color="auto"/>
        <w:left w:val="none" w:sz="0" w:space="0" w:color="auto"/>
        <w:bottom w:val="none" w:sz="0" w:space="0" w:color="auto"/>
        <w:right w:val="none" w:sz="0" w:space="0" w:color="auto"/>
      </w:divBdr>
      <w:divsChild>
        <w:div w:id="892499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620792">
              <w:marLeft w:val="0"/>
              <w:marRight w:val="0"/>
              <w:marTop w:val="0"/>
              <w:marBottom w:val="0"/>
              <w:divBdr>
                <w:top w:val="none" w:sz="0" w:space="0" w:color="auto"/>
                <w:left w:val="none" w:sz="0" w:space="0" w:color="auto"/>
                <w:bottom w:val="none" w:sz="0" w:space="0" w:color="auto"/>
                <w:right w:val="none" w:sz="0" w:space="0" w:color="auto"/>
              </w:divBdr>
              <w:divsChild>
                <w:div w:id="8469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7822">
      <w:bodyDiv w:val="1"/>
      <w:marLeft w:val="0"/>
      <w:marRight w:val="0"/>
      <w:marTop w:val="0"/>
      <w:marBottom w:val="0"/>
      <w:divBdr>
        <w:top w:val="none" w:sz="0" w:space="0" w:color="auto"/>
        <w:left w:val="none" w:sz="0" w:space="0" w:color="auto"/>
        <w:bottom w:val="none" w:sz="0" w:space="0" w:color="auto"/>
        <w:right w:val="none" w:sz="0" w:space="0" w:color="auto"/>
      </w:divBdr>
    </w:div>
    <w:div w:id="1231697760">
      <w:bodyDiv w:val="1"/>
      <w:marLeft w:val="0"/>
      <w:marRight w:val="0"/>
      <w:marTop w:val="0"/>
      <w:marBottom w:val="0"/>
      <w:divBdr>
        <w:top w:val="none" w:sz="0" w:space="0" w:color="auto"/>
        <w:left w:val="none" w:sz="0" w:space="0" w:color="auto"/>
        <w:bottom w:val="none" w:sz="0" w:space="0" w:color="auto"/>
        <w:right w:val="none" w:sz="0" w:space="0" w:color="auto"/>
      </w:divBdr>
      <w:divsChild>
        <w:div w:id="1358773265">
          <w:marLeft w:val="547"/>
          <w:marRight w:val="0"/>
          <w:marTop w:val="0"/>
          <w:marBottom w:val="0"/>
          <w:divBdr>
            <w:top w:val="none" w:sz="0" w:space="0" w:color="auto"/>
            <w:left w:val="none" w:sz="0" w:space="0" w:color="auto"/>
            <w:bottom w:val="none" w:sz="0" w:space="0" w:color="auto"/>
            <w:right w:val="none" w:sz="0" w:space="0" w:color="auto"/>
          </w:divBdr>
        </w:div>
        <w:div w:id="1286231160">
          <w:marLeft w:val="547"/>
          <w:marRight w:val="0"/>
          <w:marTop w:val="0"/>
          <w:marBottom w:val="0"/>
          <w:divBdr>
            <w:top w:val="none" w:sz="0" w:space="0" w:color="auto"/>
            <w:left w:val="none" w:sz="0" w:space="0" w:color="auto"/>
            <w:bottom w:val="none" w:sz="0" w:space="0" w:color="auto"/>
            <w:right w:val="none" w:sz="0" w:space="0" w:color="auto"/>
          </w:divBdr>
        </w:div>
        <w:div w:id="927155367">
          <w:marLeft w:val="547"/>
          <w:marRight w:val="0"/>
          <w:marTop w:val="0"/>
          <w:marBottom w:val="0"/>
          <w:divBdr>
            <w:top w:val="none" w:sz="0" w:space="0" w:color="auto"/>
            <w:left w:val="none" w:sz="0" w:space="0" w:color="auto"/>
            <w:bottom w:val="none" w:sz="0" w:space="0" w:color="auto"/>
            <w:right w:val="none" w:sz="0" w:space="0" w:color="auto"/>
          </w:divBdr>
        </w:div>
      </w:divsChild>
    </w:div>
    <w:div w:id="1683509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education-evidence/teaching-learning-toolkit/phonics" TargetMode="External"/><Relationship Id="rId18" Type="http://schemas.openxmlformats.org/officeDocument/2006/relationships/hyperlink" Target="https://educationendowmentfoundation.org.uk/education-evidence/teaching-learning-toolkit/one-to-one-tuiti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1099677/Working_together_to_improve_school_attendance.pdf" TargetMode="External"/><Relationship Id="rId7" Type="http://schemas.openxmlformats.org/officeDocument/2006/relationships/webSettings" Target="webSettings.xml"/><Relationship Id="rId12" Type="http://schemas.openxmlformats.org/officeDocument/2006/relationships/hyperlink" Target="https://educationendowmentfoundation.org.uk/education-evidence/guidance-reports/feedback" TargetMode="External"/><Relationship Id="rId17" Type="http://schemas.openxmlformats.org/officeDocument/2006/relationships/hyperlink" Target="https://educationendowmentfoundation.org.uk/projects-and-evaluation/projects/nuffield-early-language-interventio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ducationendowmentfoundation.org.uk/education-evidence/early-years-toolkit/communication-and-language-approaches" TargetMode="External"/><Relationship Id="rId20" Type="http://schemas.openxmlformats.org/officeDocument/2006/relationships/hyperlink" Target="https://educationendowmentfoundation.org.uk/education-evidence/teaching-learning-toolkit/parental-engageme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education-evidence/guidance-reports/metacognition"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educationendowmentfoundation.org.uk/education-evidence/teaching-learning-toolkit/teaching-assistant-interventions" TargetMode="External"/><Relationship Id="rId23" Type="http://schemas.openxmlformats.org/officeDocument/2006/relationships/hyperlink" Target="https://assets.publishing.service.gov.uk/media/650c93fe27d43b0014375b64/The_reading_framework.pdf" TargetMode="External"/><Relationship Id="rId10" Type="http://schemas.openxmlformats.org/officeDocument/2006/relationships/hyperlink" Target="https://educationendowmentfoundation.org.uk/education-evidence/guidance-reports/literacy-ks-1" TargetMode="External"/><Relationship Id="rId19" Type="http://schemas.openxmlformats.org/officeDocument/2006/relationships/hyperlink" Target="https://educationendowmentfoundation.org.uk/evidence-summaries/teaching-learning-toolkit/small-group-tui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ducation-evidence/teaching-learning-toolkit/reading-comprehension-strategies" TargetMode="External"/><Relationship Id="rId22" Type="http://schemas.openxmlformats.org/officeDocument/2006/relationships/hyperlink" Target="https://educationendowmentfoundation.org.uk/education-evidence/teaching-learning-toolkit/behaviour-intervention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7E69C1AB57254EA1762F26492E6181" ma:contentTypeVersion="17" ma:contentTypeDescription="Create a new document." ma:contentTypeScope="" ma:versionID="ef2ec7adcefefb235f23e49d0dff63da">
  <xsd:schema xmlns:xsd="http://www.w3.org/2001/XMLSchema" xmlns:xs="http://www.w3.org/2001/XMLSchema" xmlns:p="http://schemas.microsoft.com/office/2006/metadata/properties" xmlns:ns2="46a92759-2dbd-4c8a-b327-c67b843a2a83" xmlns:ns3="1f34b5f7-525c-49cd-a176-f2f082794d9b" targetNamespace="http://schemas.microsoft.com/office/2006/metadata/properties" ma:root="true" ma:fieldsID="30997210863f3295739fb2cfc55d3f3a" ns2:_="" ns3:_="">
    <xsd:import namespace="46a92759-2dbd-4c8a-b327-c67b843a2a83"/>
    <xsd:import namespace="1f34b5f7-525c-49cd-a176-f2f082794d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92759-2dbd-4c8a-b327-c67b843a2a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9a5c005-6c08-4730-b1e7-27aa70185b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34b5f7-525c-49cd-a176-f2f082794d9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0e183de-f603-45b6-8025-43f135ae1f52}" ma:internalName="TaxCatchAll" ma:showField="CatchAllData" ma:web="1f34b5f7-525c-49cd-a176-f2f082794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a92759-2dbd-4c8a-b327-c67b843a2a83">
      <Terms xmlns="http://schemas.microsoft.com/office/infopath/2007/PartnerControls"/>
    </lcf76f155ced4ddcb4097134ff3c332f>
    <TaxCatchAll xmlns="1f34b5f7-525c-49cd-a176-f2f082794d9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7C312F-335E-42F2-B9DF-F2E2AFFB1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a92759-2dbd-4c8a-b327-c67b843a2a83"/>
    <ds:schemaRef ds:uri="1f34b5f7-525c-49cd-a176-f2f082794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070B0D-0E8C-43F7-80A0-3DA85F549FCD}">
  <ds:schemaRefs>
    <ds:schemaRef ds:uri="http://schemas.microsoft.com/office/2006/metadata/properties"/>
    <ds:schemaRef ds:uri="http://schemas.microsoft.com/office/infopath/2007/PartnerControls"/>
    <ds:schemaRef ds:uri="46a92759-2dbd-4c8a-b327-c67b843a2a83"/>
    <ds:schemaRef ds:uri="1f34b5f7-525c-49cd-a176-f2f082794d9b"/>
  </ds:schemaRefs>
</ds:datastoreItem>
</file>

<file path=customXml/itemProps3.xml><?xml version="1.0" encoding="utf-8"?>
<ds:datastoreItem xmlns:ds="http://schemas.openxmlformats.org/officeDocument/2006/customXml" ds:itemID="{4D18E412-7F12-42E9-8708-B9E2D13DF5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3152</Words>
  <Characters>17970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Michelle Day</cp:lastModifiedBy>
  <cp:revision>2</cp:revision>
  <cp:lastPrinted>2021-10-05T13:57:00Z</cp:lastPrinted>
  <dcterms:created xsi:type="dcterms:W3CDTF">2023-12-19T11:57:00Z</dcterms:created>
  <dcterms:modified xsi:type="dcterms:W3CDTF">2023-12-19T11:57:00Z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0x010100CE7E69C1AB57254EA1762F26492E6181</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